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Об утверждении муниципальной программы "Оздоровление экологической обстановки </w:t>
            </w:r>
            <w:r>
              <w:rPr>
                <w:color w:val="000000" w:themeColor="text1"/>
              </w:rPr>
              <w:br/>
              <w:t xml:space="preserve">в городе Нижневартовске" 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от 17.04.2024 №310 </w:t>
      </w:r>
      <w:r>
        <w:rPr>
          <w:color w:val="000000" w:themeColor="text1"/>
          <w:sz w:val="28"/>
          <w:szCs w:val="28"/>
        </w:rPr>
        <w:br/>
        <w:t xml:space="preserve">"О порядке разработки и реализации муниципальных программ города Нижневартовска", р</w:t>
      </w:r>
      <w:r>
        <w:rPr>
          <w:color w:val="000000" w:themeColor="text1"/>
          <w:sz w:val="28"/>
          <w:szCs w:val="28"/>
          <w:highlight w:val="white"/>
        </w:rPr>
        <w:t xml:space="preserve">ешением Думы города от __. __.2024 №___ "Об одобрении проекта муниципальной программы "Оздоровление экологич</w:t>
      </w:r>
      <w:r>
        <w:rPr>
          <w:color w:val="000000" w:themeColor="text1"/>
          <w:sz w:val="28"/>
          <w:szCs w:val="28"/>
          <w:highlight w:val="white"/>
        </w:rPr>
        <w:t xml:space="preserve">еской обстановки в городе Нижневартовске", учитывая итоговый протокол общественного обсуждения проекта постановления администрации города "Об утверждении муниципальной программы "Оздоровление экологической обстановки в городе Нижневартовске" от __.__.2024: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Утвердить муниципальную программу "Оздоровление экологической обстановки в городе Нижневартовске" согласно приложению.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 Прекратить с 01.01.2025 реализацию муниципальной программы "Оздоровление экологической обстановки в городе Нижневартовске", утвержденной постановлением администрации города от 23.07.2015 №1378.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4. Постановление вступает в силу после его официального опубликования и применяется к правоотношениям, возникающим при составлении </w:t>
        <w:br/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и утверждении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б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юджета города Нижневартовска, начиная с бюджета на 2025 год и на плановый период 2026 и 2027 годов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5. Контроль за выполнением постановления возложить на заместителя главы города, в ведении которого находится управление по природопользованию и экологии администрации города.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города</w:t>
      </w:r>
      <w:bookmarkStart w:id="0" w:name="undefined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  <w:highlight w:val="white"/>
        </w:rPr>
        <w:t xml:space="preserve">                                                                                           Д.А. Кощенко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jc w:val="both"/>
        <w:rPr>
          <w:color w:val="000000" w:themeColor="text1"/>
          <w:sz w:val="28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     Приложение к постановлению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10885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администрации города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10885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 __________ №_________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3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Муниципальная программа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jc w:val="center"/>
        <w:widowControl w:val="off"/>
        <w:rPr>
          <w:b/>
          <w:color w:val="000000" w:themeColor="text1"/>
          <w:highlight w:val="white"/>
        </w:rPr>
      </w:pPr>
      <w:r>
        <w:rPr>
          <w:b/>
          <w:color w:val="000000" w:themeColor="text1"/>
          <w:highlight w:val="white"/>
        </w:rPr>
        <w:t xml:space="preserve">"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Оздоровление экологической обстановки в городе Нижневартовске</w:t>
      </w:r>
      <w:r>
        <w:rPr>
          <w:b/>
          <w:color w:val="000000" w:themeColor="text1"/>
          <w:highlight w:val="white"/>
        </w:rPr>
        <w:t xml:space="preserve">"</w:t>
      </w:r>
      <w:r>
        <w:rPr>
          <w:b/>
          <w:color w:val="000000" w:themeColor="text1"/>
          <w:highlight w:val="white"/>
        </w:rPr>
      </w:r>
      <w:r>
        <w:rPr>
          <w:b/>
          <w:color w:val="000000" w:themeColor="text1"/>
          <w:highlight w:val="white"/>
        </w:rPr>
      </w:r>
    </w:p>
    <w:p>
      <w:pPr>
        <w:jc w:val="center"/>
        <w:widowControl w:val="off"/>
        <w:rPr>
          <w:b/>
          <w:color w:val="000000" w:themeColor="text1"/>
          <w:highlight w:val="white"/>
        </w:rPr>
      </w:pPr>
      <w:r>
        <w:rPr>
          <w:b/>
          <w:color w:val="000000" w:themeColor="text1"/>
          <w:highlight w:val="white"/>
        </w:rPr>
      </w:r>
      <w:r>
        <w:rPr>
          <w:b/>
          <w:color w:val="000000" w:themeColor="text1"/>
          <w:highlight w:val="white"/>
        </w:rPr>
      </w:r>
      <w:r>
        <w:rPr>
          <w:b/>
          <w:color w:val="000000" w:themeColor="text1"/>
          <w:highlight w:val="white"/>
        </w:rPr>
      </w:r>
    </w:p>
    <w:p>
      <w:pPr>
        <w:jc w:val="center"/>
        <w:widowControl w:val="off"/>
        <w:rPr>
          <w:b/>
          <w:bCs/>
          <w:color w:val="000000" w:themeColor="text1"/>
          <w:sz w:val="28"/>
          <w:szCs w:val="28"/>
          <w:highlight w:val="white"/>
        </w:rPr>
        <w:outlineLvl w:val="1"/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Паспорт муниципальной программы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color w:val="000000" w:themeColor="text1"/>
          <w:highlight w:val="white"/>
        </w:rPr>
      </w:pPr>
      <w:r>
        <w:rPr>
          <w:b/>
          <w:color w:val="000000" w:themeColor="text1"/>
          <w:highlight w:val="white"/>
        </w:rPr>
        <w:t xml:space="preserve">"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Оздоровление экологической обстановки в городе Нижневартовске</w:t>
      </w:r>
      <w:r>
        <w:rPr>
          <w:b/>
          <w:color w:val="000000" w:themeColor="text1"/>
          <w:highlight w:val="white"/>
        </w:rPr>
        <w:t xml:space="preserve">"</w:t>
      </w:r>
      <w:r>
        <w:rPr>
          <w:b/>
          <w:color w:val="000000" w:themeColor="text1"/>
          <w:highlight w:val="white"/>
        </w:rPr>
      </w:r>
      <w:r>
        <w:rPr>
          <w:b/>
          <w:color w:val="000000" w:themeColor="text1"/>
          <w:highlight w:val="white"/>
        </w:rPr>
      </w:r>
    </w:p>
    <w:p>
      <w:pPr>
        <w:jc w:val="center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jc w:val="center"/>
        <w:rPr>
          <w:b/>
          <w:color w:val="000000" w:themeColor="text1"/>
          <w:sz w:val="28"/>
          <w:highlight w:val="white"/>
        </w:rPr>
      </w:pPr>
      <w:r>
        <w:rPr>
          <w:b/>
          <w:color w:val="000000" w:themeColor="text1"/>
          <w:sz w:val="28"/>
          <w:highlight w:val="white"/>
        </w:rPr>
        <w:t xml:space="preserve">1. Основные положения</w:t>
      </w:r>
      <w:r>
        <w:rPr>
          <w:b/>
          <w:color w:val="000000" w:themeColor="text1"/>
          <w:sz w:val="28"/>
          <w:highlight w:val="white"/>
        </w:rPr>
      </w:r>
      <w:r>
        <w:rPr>
          <w:b/>
          <w:color w:val="000000" w:themeColor="text1"/>
          <w:sz w:val="28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228"/>
        <w:gridCol w:w="8079"/>
      </w:tblGrid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Куратор муниципальной программы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80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главы города, в ведении которого находится управление по природопользованию и экологии администрации 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Ответственный исполнитель муниципальной программы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80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управление по природопользованию и экологии администрации 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Период реализации муниципальной программы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80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2025-2036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Цель муниципальной программы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80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обеспечение устойчивой безопасной экологической обстановки </w:t>
            </w:r>
            <w:r>
              <w:rPr>
                <w:color w:val="000000" w:themeColor="text1"/>
              </w:rPr>
              <w:br/>
              <w:t xml:space="preserve">и сохранение благоприятной окружающей среды в городе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Направления (подпрограммы) муниципальной программы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80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80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645 073,96 тыс. рублей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Связь с национальными целями развития Российской Федерации /               государственными программами Ханты-Мансийского автономного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округа - Югры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80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1. </w:t>
            </w:r>
            <w:r>
              <w:rPr>
                <w:color w:val="000000" w:themeColor="text1"/>
                <w:highlight w:val="white"/>
              </w:rPr>
              <w:t xml:space="preserve">Экологическое благополучие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2.</w:t>
            </w:r>
            <w:r>
              <w:rPr>
                <w:color w:val="000000" w:themeColor="text1"/>
                <w:highlight w:val="white"/>
              </w:rPr>
              <w:t xml:space="preserve"> Государственная программа Ханты-Мансийского автономного округа - Югры "Экологическая безопасность"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4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  <w:t xml:space="preserve">2. Показатели муниципальной программы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tbl>
      <w:tblPr>
        <w:tblW w:w="52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03"/>
        <w:gridCol w:w="1782"/>
        <w:gridCol w:w="991"/>
        <w:gridCol w:w="992"/>
        <w:gridCol w:w="709"/>
        <w:gridCol w:w="56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1559"/>
      </w:tblGrid>
      <w:tr>
        <w:tblPrEx/>
        <w:trPr>
          <w:trHeight w:val="34"/>
        </w:trPr>
        <w:tc>
          <w:tcPr>
            <w:tcMar>
              <w:top w:w="0" w:type="dxa"/>
              <w:bottom w:w="0" w:type="dxa"/>
            </w:tcMar>
            <w:tcW w:w="404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измерения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(по ОКЕИ)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Базовое значение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12"/>
            <w:tcW w:w="8504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Значение показателя по годам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за достижение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4"/>
        </w:trPr>
        <w:tc>
          <w:tcPr>
            <w:tcMar>
              <w:top w:w="0" w:type="dxa"/>
              <w:bottom w:w="0" w:type="dxa"/>
            </w:tcMar>
            <w:tcW w:w="404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значе-ние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2025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2026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2027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2028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2029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2030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2031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2032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2033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2034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2035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2036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"/>
        </w:trPr>
        <w:tc>
          <w:tcPr>
            <w:gridSpan w:val="19"/>
            <w:tcW w:w="1551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Цель "Обеспечение устойчивой безопасной экологической обстановки и сохранение благоприятной окружающей среды в городе Нижневартовске"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4"/>
        </w:trPr>
        <w:tc>
          <w:tcPr>
            <w:tcMar>
              <w:top w:w="0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Площадь территории города, на которой ликвидировано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захламление, загрязнение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2,29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природопользова-нию и экологии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мероприятий, направленных на контроль достижения нормативов допустимого воздействия на окружающую среду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природопользова-нию и экологии администрации города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населения, вовлеченного                          в эколого-просветительские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br/>
              <w:t xml:space="preserve">и природоохранные мероприятия, от общей численности населения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природопользова-нию и экологии администрации города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4"/>
        </w:trPr>
        <w:tc>
          <w:tcPr>
            <w:tcMar>
              <w:top w:w="0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Площадь городских лесов,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на которой снижена природная пожарная опасность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28,98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природопользова-нию и экологии администрации города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0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деревьев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br/>
              <w:t xml:space="preserve">и кустарников,                 в отношении которых реализованы работы по их содержанию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20 351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20 300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20 400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20 500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20 600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20 700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20 800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20 900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21 000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21 100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21 200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21 300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21 400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природопользова-нию и экологии администрации города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0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Уровень удовлетворенности населения качеством благоустройства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br/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и содержания лесного комплекса "Ягом"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природопользова-нию и экологии администрации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города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268"/>
        </w:trPr>
        <w:tc>
          <w:tcPr>
            <w:tcMar>
              <w:top w:w="0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мест (площадок) накопления твердых коммунальных отходов, соответствующих требованиям  санитарно-эпидемиологическо-го и экологического законодательства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природопользова-нию и экологии администрации города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rPr>
          <w:color w:val="000000" w:themeColor="text1"/>
          <w:sz w:val="28"/>
          <w:highlight w:val="white"/>
        </w:rPr>
      </w:pPr>
      <w:r>
        <w:rPr>
          <w:b/>
          <w:color w:val="000000" w:themeColor="text1"/>
          <w:sz w:val="28"/>
          <w:highlight w:val="white"/>
        </w:rPr>
        <w:t xml:space="preserve">3. План достижения показателей муниципальной программы в 2025 году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tbl>
      <w:tblPr>
        <w:tblW w:w="15165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2551"/>
        <w:gridCol w:w="1418"/>
        <w:gridCol w:w="1417"/>
        <w:gridCol w:w="1276"/>
        <w:gridCol w:w="1840"/>
      </w:tblGrid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Уровень 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измерения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(по ОКЕИ)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tcW w:w="5951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Плановые значения 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Merge w:val="continue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I квартал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первое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полугодие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9 месяцев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gridSpan w:val="8"/>
            <w:tcMar>
              <w:top w:w="0" w:type="dxa"/>
              <w:bottom w:w="0" w:type="dxa"/>
            </w:tcMar>
            <w:tcW w:w="1516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Цель "Обеспечение устойчивой безопасной экологической обстановки и сохранение благоприятной окружающей среды в городе Нижневартовске"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Mar>
              <w:top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Площадь территории города, на которой ликвидировано захламление, загрязнение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мероприятий, направленных на контроль достижения нормативов допустимого воздействия на окружающую среду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населения, вовлеченного в эколого-просветительские и природоохранные мероприятия, от общей численности населения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24,0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Площадь городских лесов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на которой снижена природная пожарная опасность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8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деревьев и кустарников, в отношении которых реализованы работы по их высадке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br/>
              <w:t xml:space="preserve">и содержанию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13 900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19 500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20 300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Уровень удовлетворенности населения качеством благоустройства и содержания лесного комплекса "Ягом"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895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мест (площадок) накопления твердых коммунальных отходов, соответствующих требованиям санитарно-эпидемиологического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br/>
              <w:t xml:space="preserve">и экологического законодательства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jc w:val="center"/>
        <w:spacing w:after="240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240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240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highlight w:val="white"/>
        </w:rPr>
        <w:t xml:space="preserve">4. Структура муниц</w:t>
      </w:r>
      <w:bookmarkStart w:id="1" w:name="_GoBack"/>
      <w:r>
        <w:rPr>
          <w:color w:val="000000" w:themeColor="text1"/>
        </w:rPr>
      </w:r>
      <w:bookmarkEnd w:id="1"/>
      <w:r>
        <w:rPr>
          <w:b/>
          <w:color w:val="000000" w:themeColor="text1"/>
          <w:sz w:val="28"/>
          <w:highlight w:val="white"/>
        </w:rPr>
        <w:t xml:space="preserve">ипальной программы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tbl>
      <w:tblPr>
        <w:tblW w:w="1515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264"/>
        <w:gridCol w:w="6495"/>
        <w:gridCol w:w="25"/>
        <w:gridCol w:w="4819"/>
      </w:tblGrid>
      <w:tr>
        <w:tblPrEx/>
        <w:trPr>
          <w:trHeight w:val="9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5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п/п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4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Задачи структурного элемента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95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Краткое описание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структурного элемента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44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Связь с показателями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03" w:type="dxa"/>
            <w:textDirection w:val="lrTb"/>
            <w:noWrap w:val="false"/>
          </w:tcPr>
          <w:p>
            <w:pPr>
              <w:ind w:firstLine="15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Комплекс процессных мероприятий "Обеспечение снижения негативного воздействия хозяйственной и иной деятельности на окружающую среду"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4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Ответственный за реализацию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9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природопользованию и экологии администрации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1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4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Срок реализации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9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2025-2036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4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9" w:type="dxa"/>
            <w:textDirection w:val="lrTb"/>
            <w:noWrap w:val="false"/>
          </w:tcPr>
          <w:p>
            <w:pPr>
              <w:ind w:left="113" w:right="113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природопользованию и экологии администрации города;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ind w:left="113" w:right="113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муниципальное бюджетное учреждение "Управление по дорожному хозяйству и благоустройству города Нижневартовска";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ind w:left="113" w:right="113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1.1.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Снижение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уровня негативного воздействия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на окружающую среду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5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ликвидация мест несанкционированного размещения отходов на территории города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4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площадь территории города, на которой ликвидировано захламление, загрязнение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1.2.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Обеспечение соблюдения требований законодательства в области охраны окружающей среды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5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организация мероприятий по контролю за состоянием компонентов окружающей среды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4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количество мероприятий, направленных на контроль достижения нормативов допустимого воздействия на окружающую среду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Merge w:val="restart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1.3.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vMerge w:val="restart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Предотвращение негативного воздействия твердых коммунальных отходов на окружающую среду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5" w:type="dxa"/>
            <w:vMerge w:val="restart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отдельных государственных полномочий 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Ханты-Мансийского автономного округа в сфере обращения с твердыми коммунальными отходами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организаци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утверждени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 порядка накопления твердых коммунальных отходов (в том числе их раздельного накопления);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контрол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 за исполнением правил осуществления деятельности региональных операторов по обращению с твердыми коммунальными отходами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4" w:type="dxa"/>
            <w:vMerge w:val="restart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magent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magenta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3" w:type="dxa"/>
            <w:vMerge w:val="restart"/>
            <w:textDirection w:val="lrTb"/>
            <w:noWrap w:val="false"/>
          </w:tcPr>
          <w:p>
            <w:pPr>
              <w:ind w:firstLine="15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Комплекс процессных мероприятий "Экологическое просвещение населения"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vMerge w:val="restart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Ответственный за реализацию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9" w:type="dxa"/>
            <w:vMerge w:val="restart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природопользованию и экологии администрации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vMerge w:val="restart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Срок реализации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9" w:type="dxa"/>
            <w:vMerge w:val="restart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2025-2036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vMerge w:val="restart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9" w:type="dxa"/>
            <w:vMerge w:val="restart"/>
            <w:textDirection w:val="lrTb"/>
            <w:noWrap w:val="false"/>
          </w:tcPr>
          <w:p>
            <w:pPr>
              <w:ind w:left="113" w:right="113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природопользованию и экологии администрации города;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ind w:left="113" w:right="113"/>
              <w:widowControl w:val="off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;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униципальное бюджетное учреждение "Управление лесопаркового хозяйства города Нижневартовска"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Merge w:val="restart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2.1.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vMerge w:val="restart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Формирование бережного отношения человека к природе и привлечение населения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 природоохранной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организация и проведение массовых экологических мероприятий, обеспечение информирования населения по вопросам охраны окружающей среды                                          и природопользования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доля населения, вовлеченного в эколого-просветительские и природоохранные мероприятия, от общей численности населения города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3" w:type="dxa"/>
            <w:textDirection w:val="lrTb"/>
            <w:noWrap w:val="false"/>
          </w:tcPr>
          <w:p>
            <w:pPr>
              <w:ind w:firstLine="154"/>
              <w:widowControl w:val="off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Комплекс процессных мероприятий 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Обеспечение деятельности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муниципального учреждения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 сфере природопользования и экологии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Ответственный за реализацию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9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управление по природопользованию и экологии администрации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Срок реализации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9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2025-2036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9" w:type="dxa"/>
            <w:textDirection w:val="lrTb"/>
            <w:noWrap w:val="false"/>
          </w:tcPr>
          <w:p>
            <w:pPr>
              <w:ind w:left="113" w:right="113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муниципальное бюджетное учреждение "Управление лесопаркового хозяйства города Нижневартовска"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dxa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3.1.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беспечение осуществления функций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eastAsia="ar-SA"/>
              </w:rPr>
              <w:t xml:space="preserve">и полномочий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муниципального учреждения, подведомственного управлению по природопользованию </w:t>
              <w:br/>
              <w:t xml:space="preserve">и экологии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5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беспечение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 муниципального бюджетного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"Управление лесопаркового хозяйства города Нижневартовска"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4" w:type="dxa"/>
            <w:textDirection w:val="lrTb"/>
            <w:noWrap w:val="false"/>
          </w:tcPr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доля населения, вовлеченного в эколого-просветительские и природоохранные мероприятия, от общей численности населения города;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площадь городских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лесов,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на которой снижена природная пожарная опасность;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количество деревьев и кустарников, в отношении которых реализованы работы по их высадке и содержанию;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113"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урове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нь удовлетворенности населения качеством благоустройства и содержания лесного комплекса "Ягом"; количество мест (площадок) накопления твердых коммунальных отходов, соответствующих требованиям санитарно-эпидемиологического и экологического законодательства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4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  <w:t xml:space="preserve">5. Финансовое обеспечение 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tbl>
      <w:tblPr>
        <w:tblW w:w="5167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701"/>
        <w:gridCol w:w="1417"/>
        <w:gridCol w:w="850"/>
        <w:gridCol w:w="850"/>
        <w:gridCol w:w="852"/>
        <w:gridCol w:w="996"/>
        <w:gridCol w:w="850"/>
        <w:gridCol w:w="993"/>
        <w:gridCol w:w="850"/>
        <w:gridCol w:w="987"/>
        <w:gridCol w:w="992"/>
        <w:gridCol w:w="850"/>
        <w:gridCol w:w="850"/>
        <w:gridCol w:w="850"/>
        <w:gridCol w:w="996"/>
      </w:tblGrid>
      <w:tr>
        <w:tblPrEx/>
        <w:trPr>
          <w:trHeight w:val="20"/>
        </w:trPr>
        <w:tc>
          <w:tcPr>
            <w:tcW w:w="396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структурного элемента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Источник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финансового обеспечения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13"/>
            <w:tcW w:w="11766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Объем финансового обеспечения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(тыс. рублей)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96" w:type="dxa"/>
            <w:vMerge w:val="continue"/>
            <w:textDirection w:val="lrTb"/>
            <w:noWrap w:val="false"/>
          </w:tcPr>
          <w:p>
            <w:pPr>
              <w:pStyle w:val="953"/>
              <w:ind w:left="-113" w:right="-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953"/>
              <w:ind w:left="-113" w:right="-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953"/>
              <w:ind w:left="-113" w:right="-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2029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2031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2032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2034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2035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2036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97"/>
        </w:trPr>
        <w:tc>
          <w:tcPr>
            <w:gridSpan w:val="2"/>
            <w:tcW w:w="2097" w:type="dxa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Муниципальная программа (всего)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58 551,93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58 551,93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58 274,93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58 274,93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645 073,96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612"/>
        </w:trPr>
        <w:tc>
          <w:tcPr>
            <w:gridSpan w:val="2"/>
            <w:tcW w:w="209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277,00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277,00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8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554,00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7"/>
        </w:trPr>
        <w:tc>
          <w:tcPr>
            <w:gridSpan w:val="2"/>
            <w:tcW w:w="209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58 274,93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58 274,93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58 274,93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58 274,93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8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51 427,53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644 519,96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3514" w:type="dxa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Объем налоговых расходов (справочно)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39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Комплекс 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Обеспечение снижения негативного воздействия хозяйственной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br/>
              <w:t xml:space="preserve">и иной деятельности на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окружающую среду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14 732,85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14 732,85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14 455,85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14 455,85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119 245,00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277,00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277,00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554,00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14 455,85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14 455,85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14 455,85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14 455,85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7 608,45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118 691,00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9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Комплекс 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Экологическое просвещение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1 586,15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19 033,80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7"/>
        </w:trPr>
        <w:tc>
          <w:tcPr>
            <w:tcW w:w="39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53"/>
              <w:ind w:right="113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Комплекс 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Обеспечение деятельности муниципального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br/>
              <w:t xml:space="preserve">в сфере природопользования и экологии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53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42 232,93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506 795,16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1215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55" w:hanging="121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75" w:hanging="121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95" w:hanging="121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12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1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1477" w:hanging="397"/>
        <w:tabs>
          <w:tab w:val="num" w:pos="1477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1" w:hanging="180"/>
      </w:pPr>
    </w:lvl>
  </w:abstractNum>
  <w:abstractNum w:abstractNumId="26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8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80" w:hanging="1680"/>
        <w:tabs>
          <w:tab w:val="num" w:pos="1680" w:leader="none"/>
        </w:tabs>
      </w:pPr>
      <w:rPr>
        <w:b/>
      </w:rPr>
    </w:lvl>
    <w:lvl w:ilvl="1">
      <w:start w:val="7"/>
      <w:numFmt w:val="decimal"/>
      <w:isLgl w:val="false"/>
      <w:suff w:val="tab"/>
      <w:lvlText w:val="%1.%2."/>
      <w:lvlJc w:val="left"/>
      <w:pPr>
        <w:ind w:left="2034" w:hanging="1680"/>
        <w:tabs>
          <w:tab w:val="num" w:pos="2034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88" w:hanging="1680"/>
        <w:tabs>
          <w:tab w:val="num" w:pos="2388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2" w:hanging="1680"/>
        <w:tabs>
          <w:tab w:val="num" w:pos="2742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96" w:hanging="1680"/>
        <w:tabs>
          <w:tab w:val="num" w:pos="3096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50" w:hanging="1680"/>
        <w:tabs>
          <w:tab w:val="num" w:pos="345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3924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4278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4992" w:leader="none"/>
        </w:tabs>
      </w:pPr>
      <w:rPr>
        <w:b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30"/>
  </w:num>
  <w:num w:numId="5">
    <w:abstractNumId w:val="22"/>
  </w:num>
  <w:num w:numId="6">
    <w:abstractNumId w:val="29"/>
  </w:num>
  <w:num w:numId="7">
    <w:abstractNumId w:val="28"/>
  </w:num>
  <w:num w:numId="8">
    <w:abstractNumId w:val="26"/>
  </w:num>
  <w:num w:numId="9">
    <w:abstractNumId w:val="0"/>
  </w:num>
  <w:num w:numId="10">
    <w:abstractNumId w:val="19"/>
  </w:num>
  <w:num w:numId="11">
    <w:abstractNumId w:val="20"/>
  </w:num>
  <w:num w:numId="12">
    <w:abstractNumId w:val="18"/>
  </w:num>
  <w:num w:numId="13">
    <w:abstractNumId w:val="2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12"/>
  </w:num>
  <w:num w:numId="19">
    <w:abstractNumId w:val="17"/>
  </w:num>
  <w:num w:numId="20">
    <w:abstractNumId w:val="13"/>
  </w:num>
  <w:num w:numId="21">
    <w:abstractNumId w:val="16"/>
  </w:num>
  <w:num w:numId="22">
    <w:abstractNumId w:val="6"/>
  </w:num>
  <w:num w:numId="23">
    <w:abstractNumId w:val="8"/>
  </w:num>
  <w:num w:numId="24">
    <w:abstractNumId w:val="7"/>
  </w:num>
  <w:num w:numId="25">
    <w:abstractNumId w:val="11"/>
  </w:num>
  <w:num w:numId="26">
    <w:abstractNumId w:val="24"/>
  </w:num>
  <w:num w:numId="27">
    <w:abstractNumId w:val="21"/>
  </w:num>
  <w:num w:numId="28">
    <w:abstractNumId w:val="27"/>
  </w:num>
  <w:num w:numId="29">
    <w:abstractNumId w:val="2"/>
  </w:num>
  <w:num w:numId="30">
    <w:abstractNumId w:val="3"/>
  </w:num>
  <w:num w:numId="31">
    <w:abstractNumId w:val="1"/>
  </w:num>
  <w:num w:numId="32">
    <w:abstractNumId w:val="14"/>
  </w:num>
  <w:num w:numId="33">
    <w:abstractNumId w:val="2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  <w:rPr>
      <w:sz w:val="24"/>
      <w:szCs w:val="24"/>
    </w:rPr>
  </w:style>
  <w:style w:type="paragraph" w:styleId="750">
    <w:name w:val="Heading 1"/>
    <w:basedOn w:val="749"/>
    <w:next w:val="749"/>
    <w:link w:val="777"/>
    <w:qFormat/>
    <w:pPr>
      <w:jc w:val="both"/>
      <w:keepNext/>
      <w:outlineLvl w:val="0"/>
    </w:pPr>
    <w:rPr>
      <w:sz w:val="28"/>
    </w:rPr>
  </w:style>
  <w:style w:type="paragraph" w:styleId="751">
    <w:name w:val="Heading 2"/>
    <w:basedOn w:val="749"/>
    <w:next w:val="749"/>
    <w:link w:val="778"/>
    <w:qFormat/>
    <w:pPr>
      <w:jc w:val="center"/>
      <w:keepNext/>
      <w:outlineLvl w:val="1"/>
    </w:pPr>
    <w:rPr>
      <w:sz w:val="28"/>
    </w:rPr>
  </w:style>
  <w:style w:type="paragraph" w:styleId="752">
    <w:name w:val="Heading 3"/>
    <w:basedOn w:val="749"/>
    <w:next w:val="749"/>
    <w:link w:val="779"/>
    <w:qFormat/>
    <w:pPr>
      <w:jc w:val="center"/>
      <w:keepNext/>
      <w:outlineLvl w:val="2"/>
    </w:pPr>
    <w:rPr>
      <w:b/>
      <w:bCs/>
      <w:sz w:val="28"/>
    </w:rPr>
  </w:style>
  <w:style w:type="paragraph" w:styleId="753">
    <w:name w:val="Heading 4"/>
    <w:basedOn w:val="749"/>
    <w:next w:val="749"/>
    <w:link w:val="780"/>
    <w:qFormat/>
    <w:pPr>
      <w:jc w:val="both"/>
      <w:keepNext/>
      <w:outlineLvl w:val="3"/>
    </w:pPr>
    <w:rPr>
      <w:b/>
      <w:bCs/>
      <w:sz w:val="28"/>
    </w:rPr>
  </w:style>
  <w:style w:type="paragraph" w:styleId="754">
    <w:name w:val="Heading 5"/>
    <w:basedOn w:val="749"/>
    <w:next w:val="749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5">
    <w:name w:val="Heading 6"/>
    <w:basedOn w:val="749"/>
    <w:next w:val="749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749"/>
    <w:next w:val="749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749"/>
    <w:next w:val="749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next w:val="749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Title Char"/>
    <w:uiPriority w:val="10"/>
    <w:rPr>
      <w:sz w:val="48"/>
      <w:szCs w:val="48"/>
    </w:rPr>
  </w:style>
  <w:style w:type="character" w:styleId="772" w:customStyle="1">
    <w:name w:val="Subtitle Char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Заголовок 1 Знак"/>
    <w:link w:val="750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link w:val="751"/>
    <w:uiPriority w:val="9"/>
    <w:rPr>
      <w:rFonts w:ascii="Arial" w:hAnsi="Arial" w:eastAsia="Arial" w:cs="Arial"/>
      <w:sz w:val="34"/>
    </w:rPr>
  </w:style>
  <w:style w:type="character" w:styleId="779" w:customStyle="1">
    <w:name w:val="Заголовок 3 Знак"/>
    <w:link w:val="752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link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49"/>
    <w:uiPriority w:val="34"/>
    <w:qFormat/>
    <w:pPr>
      <w:contextualSpacing/>
      <w:ind w:left="720"/>
    </w:pPr>
    <w:rPr>
      <w:sz w:val="20"/>
      <w:szCs w:val="20"/>
    </w:rPr>
  </w:style>
  <w:style w:type="paragraph" w:styleId="787">
    <w:name w:val="No Spacing"/>
    <w:uiPriority w:val="1"/>
    <w:qFormat/>
    <w:rPr>
      <w:lang w:eastAsia="zh-CN"/>
    </w:rPr>
  </w:style>
  <w:style w:type="paragraph" w:styleId="788">
    <w:name w:val="Title"/>
    <w:basedOn w:val="749"/>
    <w:next w:val="749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49"/>
    <w:next w:val="749"/>
    <w:link w:val="791"/>
    <w:uiPriority w:val="11"/>
    <w:qFormat/>
    <w:pPr>
      <w:spacing w:before="200" w:after="200"/>
    </w:p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49"/>
    <w:next w:val="749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49"/>
    <w:next w:val="749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49"/>
    <w:link w:val="956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797" w:customStyle="1">
    <w:name w:val="Header Char"/>
    <w:uiPriority w:val="99"/>
  </w:style>
  <w:style w:type="paragraph" w:styleId="798">
    <w:name w:val="Footer"/>
    <w:basedOn w:val="749"/>
    <w:link w:val="960"/>
    <w:pPr>
      <w:tabs>
        <w:tab w:val="center" w:pos="4677" w:leader="none"/>
        <w:tab w:val="right" w:pos="9355" w:leader="none"/>
      </w:tabs>
    </w:pPr>
  </w:style>
  <w:style w:type="character" w:styleId="799" w:customStyle="1">
    <w:name w:val="Footer Char"/>
    <w:uiPriority w:val="99"/>
  </w:style>
  <w:style w:type="paragraph" w:styleId="800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1" w:customStyle="1">
    <w:name w:val="Caption Char"/>
    <w:uiPriority w:val="99"/>
  </w:style>
  <w:style w:type="table" w:styleId="802">
    <w:name w:val="Table Grid"/>
    <w:basedOn w:val="760"/>
    <w:tblPr/>
  </w:style>
  <w:style w:type="table" w:styleId="80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8">
    <w:name w:val="Hyperlink"/>
    <w:rPr>
      <w:color w:val="0000ff"/>
      <w:u w:val="single"/>
    </w:rPr>
  </w:style>
  <w:style w:type="paragraph" w:styleId="929">
    <w:name w:val="footnote text"/>
    <w:basedOn w:val="749"/>
    <w:link w:val="930"/>
    <w:uiPriority w:val="99"/>
    <w:semiHidden/>
    <w:unhideWhenUsed/>
    <w:pPr>
      <w:spacing w:after="40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749"/>
    <w:link w:val="933"/>
    <w:uiPriority w:val="99"/>
    <w:semiHidden/>
    <w:unhideWhenUsed/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749"/>
    <w:next w:val="749"/>
    <w:uiPriority w:val="39"/>
    <w:unhideWhenUsed/>
    <w:pPr>
      <w:spacing w:after="57"/>
    </w:pPr>
  </w:style>
  <w:style w:type="paragraph" w:styleId="936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37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38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39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40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41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42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43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  <w:rPr>
      <w:lang w:eastAsia="zh-CN"/>
    </w:rPr>
  </w:style>
  <w:style w:type="paragraph" w:styleId="945">
    <w:name w:val="table of figures"/>
    <w:basedOn w:val="749"/>
    <w:next w:val="749"/>
    <w:uiPriority w:val="99"/>
    <w:unhideWhenUsed/>
  </w:style>
  <w:style w:type="paragraph" w:styleId="946">
    <w:name w:val="Body Text Indent"/>
    <w:basedOn w:val="749"/>
    <w:link w:val="961"/>
    <w:pPr>
      <w:ind w:firstLine="720"/>
      <w:jc w:val="both"/>
    </w:pPr>
    <w:rPr>
      <w:sz w:val="28"/>
    </w:rPr>
  </w:style>
  <w:style w:type="paragraph" w:styleId="947">
    <w:name w:val="Balloon Text"/>
    <w:basedOn w:val="749"/>
    <w:semiHidden/>
    <w:rPr>
      <w:rFonts w:ascii="Tahoma" w:hAnsi="Tahoma" w:cs="Tahoma"/>
      <w:sz w:val="16"/>
      <w:szCs w:val="16"/>
    </w:rPr>
  </w:style>
  <w:style w:type="paragraph" w:styleId="948">
    <w:name w:val="Body Text"/>
    <w:basedOn w:val="749"/>
    <w:pPr>
      <w:spacing w:after="120"/>
    </w:pPr>
  </w:style>
  <w:style w:type="paragraph" w:styleId="949">
    <w:name w:val="Normal (Web)"/>
    <w:basedOn w:val="749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950">
    <w:name w:val="Body Text 2"/>
    <w:basedOn w:val="749"/>
    <w:link w:val="958"/>
    <w:pPr>
      <w:spacing w:after="120" w:line="480" w:lineRule="auto"/>
    </w:pPr>
  </w:style>
  <w:style w:type="paragraph" w:styleId="951">
    <w:name w:val="Body Text Indent 2"/>
    <w:basedOn w:val="749"/>
    <w:pPr>
      <w:ind w:left="283"/>
      <w:spacing w:after="120" w:line="480" w:lineRule="auto"/>
    </w:pPr>
  </w:style>
  <w:style w:type="paragraph" w:styleId="952">
    <w:name w:val="Body Text 3"/>
    <w:basedOn w:val="749"/>
    <w:pPr>
      <w:spacing w:after="120"/>
    </w:pPr>
    <w:rPr>
      <w:sz w:val="16"/>
      <w:szCs w:val="16"/>
    </w:rPr>
  </w:style>
  <w:style w:type="paragraph" w:styleId="953" w:customStyle="1">
    <w:name w:val="ConsPlusNormal"/>
    <w:link w:val="962"/>
    <w:pPr>
      <w:ind w:firstLine="720"/>
      <w:widowControl w:val="off"/>
    </w:pPr>
    <w:rPr>
      <w:rFonts w:ascii="Arial" w:hAnsi="Arial" w:cs="Arial"/>
    </w:rPr>
  </w:style>
  <w:style w:type="paragraph" w:styleId="954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character" w:styleId="955">
    <w:name w:val="Strong"/>
    <w:qFormat/>
    <w:rPr>
      <w:b/>
      <w:bCs/>
    </w:rPr>
  </w:style>
  <w:style w:type="character" w:styleId="956" w:customStyle="1">
    <w:name w:val="Верхний колонтитул Знак"/>
    <w:link w:val="796"/>
    <w:uiPriority w:val="99"/>
    <w:rPr>
      <w:sz w:val="24"/>
      <w:lang w:val="ru-RU" w:eastAsia="ru-RU" w:bidi="ar-SA"/>
    </w:rPr>
  </w:style>
  <w:style w:type="paragraph" w:styleId="957" w:customStyle="1">
    <w:name w:val="Название"/>
    <w:basedOn w:val="749"/>
    <w:qFormat/>
    <w:pPr>
      <w:jc w:val="center"/>
    </w:pPr>
    <w:rPr>
      <w:b/>
      <w:bCs/>
    </w:rPr>
  </w:style>
  <w:style w:type="character" w:styleId="958" w:customStyle="1">
    <w:name w:val="Основной текст 2 Знак"/>
    <w:link w:val="950"/>
    <w:rPr>
      <w:sz w:val="24"/>
      <w:szCs w:val="24"/>
      <w:lang w:val="ru-RU" w:eastAsia="ru-RU" w:bidi="ar-SA"/>
    </w:rPr>
  </w:style>
  <w:style w:type="character" w:styleId="959" w:customStyle="1">
    <w:name w:val="comments1"/>
    <w:rPr>
      <w:rFonts w:ascii="Tahoma" w:hAnsi="Tahoma" w:cs="Tahoma"/>
      <w:color w:val="ffffff"/>
      <w:sz w:val="14"/>
      <w:szCs w:val="14"/>
    </w:rPr>
  </w:style>
  <w:style w:type="character" w:styleId="960" w:customStyle="1">
    <w:name w:val="Нижний колонтитул Знак"/>
    <w:link w:val="798"/>
    <w:rPr>
      <w:sz w:val="24"/>
      <w:szCs w:val="24"/>
    </w:rPr>
  </w:style>
  <w:style w:type="character" w:styleId="961" w:customStyle="1">
    <w:name w:val="Основной текст с отступом Знак"/>
    <w:link w:val="946"/>
    <w:rPr>
      <w:sz w:val="28"/>
      <w:szCs w:val="24"/>
    </w:rPr>
  </w:style>
  <w:style w:type="character" w:styleId="962" w:customStyle="1">
    <w:name w:val="ConsPlusNormal Знак"/>
    <w:link w:val="953"/>
    <w:rPr>
      <w:rFonts w:ascii="Arial" w:hAnsi="Arial" w:cs="Arial"/>
    </w:rPr>
  </w:style>
  <w:style w:type="paragraph" w:styleId="963">
    <w:name w:val="annotation text"/>
    <w:basedOn w:val="749"/>
    <w:link w:val="964"/>
    <w:rPr>
      <w:sz w:val="20"/>
      <w:szCs w:val="20"/>
    </w:rPr>
  </w:style>
  <w:style w:type="character" w:styleId="964" w:customStyle="1">
    <w:name w:val="Текст примечания Знак"/>
    <w:basedOn w:val="759"/>
    <w:link w:val="963"/>
  </w:style>
  <w:style w:type="paragraph" w:styleId="965">
    <w:name w:val="HTML Preformatted"/>
    <w:basedOn w:val="749"/>
    <w:link w:val="966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66" w:customStyle="1">
    <w:name w:val="Стандартный HTML Знак"/>
    <w:link w:val="965"/>
    <w:uiPriority w:val="99"/>
    <w:rPr>
      <w:rFonts w:ascii="Courier New" w:hAnsi="Courier New" w:cs="Courier New"/>
    </w:rPr>
  </w:style>
  <w:style w:type="paragraph" w:styleId="967">
    <w:name w:val="Revision"/>
    <w:hidden/>
    <w:uiPriority w:val="99"/>
    <w:semiHidden/>
    <w:rPr>
      <w:sz w:val="24"/>
      <w:szCs w:val="24"/>
    </w:rPr>
  </w:style>
  <w:style w:type="paragraph" w:styleId="968" w:customStyle="1">
    <w:name w:val="msonormal"/>
    <w:basedOn w:val="749"/>
    <w:pPr>
      <w:spacing w:before="100" w:beforeAutospacing="1" w:after="100" w:afterAutospacing="1"/>
    </w:pPr>
  </w:style>
  <w:style w:type="paragraph" w:styleId="969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User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Гальмак</dc:creator>
  <cp:revision>69</cp:revision>
  <dcterms:created xsi:type="dcterms:W3CDTF">2024-05-22T07:20:00Z</dcterms:created>
  <dcterms:modified xsi:type="dcterms:W3CDTF">2024-06-03T10:43:58Z</dcterms:modified>
  <cp:version>1048576</cp:version>
</cp:coreProperties>
</file>