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right="5810"/>
        <w:jc w:val="both"/>
        <w:tabs>
          <w:tab w:val="left" w:pos="382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услуги, предоставляемые муниципальным </w:t>
      </w:r>
      <w:r>
        <w:rPr>
          <w:sz w:val="28"/>
          <w:szCs w:val="28"/>
        </w:rPr>
        <w:t xml:space="preserve">автономным </w:t>
      </w:r>
      <w:r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образова</w:t>
      </w:r>
      <w:r>
        <w:rPr>
          <w:sz w:val="28"/>
          <w:szCs w:val="28"/>
        </w:rPr>
        <w:t xml:space="preserve">ния города Нижневартовска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Детская</w:t>
      </w:r>
      <w:r>
        <w:rPr>
          <w:sz w:val="28"/>
          <w:szCs w:val="28"/>
        </w:rPr>
        <w:t xml:space="preserve"> музыкальная школа имени Юрия Дмитриевича Кузнецова</w:t>
      </w:r>
      <w:r>
        <w:rPr>
          <w:sz w:val="28"/>
          <w:szCs w:val="28"/>
        </w:rPr>
        <w:t xml:space="preserve">"</w:t>
      </w:r>
      <w:r/>
    </w:p>
    <w:p>
      <w:pPr>
        <w:pStyle w:val="828"/>
        <w:jc w:val="both"/>
      </w:pPr>
      <w:r/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автономным учреждением дополнительного образования города Нижневартовска "</w:t>
      </w:r>
      <w:r>
        <w:rPr>
          <w:rFonts w:eastAsia="Calibri"/>
          <w:sz w:val="28"/>
          <w:szCs w:val="28"/>
        </w:rPr>
        <w:t xml:space="preserve">Детская</w:t>
      </w:r>
      <w:r>
        <w:rPr>
          <w:sz w:val="28"/>
          <w:szCs w:val="28"/>
        </w:rPr>
        <w:t xml:space="preserve"> музыкальная школа имени Юрия Дмитриевича Кузнецова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учреждением </w:t>
      </w: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города Нижневартовска </w:t>
      </w:r>
      <w:r>
        <w:rPr>
          <w:b/>
          <w:sz w:val="28"/>
          <w:szCs w:val="28"/>
        </w:rPr>
      </w:r>
      <w:r/>
    </w:p>
    <w:p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Детская</w:t>
      </w:r>
      <w:r>
        <w:rPr>
          <w:b/>
          <w:bCs/>
          <w:sz w:val="28"/>
          <w:szCs w:val="28"/>
        </w:rPr>
        <w:t xml:space="preserve"> музыкальная школа имени Юрия Дмитриевича Кузнецова</w:t>
      </w:r>
      <w:r>
        <w:rPr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410"/>
        <w:gridCol w:w="1984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занятий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(мин.)</w:t>
            </w:r>
            <w:r/>
          </w:p>
        </w:tc>
        <w:tc>
          <w:tcPr>
            <w:tcMar>
              <w:top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t xml:space="preserve">1.</w:t>
            </w:r>
            <w:r/>
          </w:p>
        </w:tc>
        <w:tc>
          <w:tcPr>
            <w:tcMar>
              <w:top w:w="0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t xml:space="preserve">Проведение занятий по дополнительным общеразвивающим программам, не предусмотренным основной образовательной программой, в том числе для детей дошкольного возраста: </w:t>
            </w:r>
            <w:r/>
          </w:p>
          <w:p>
            <w:pPr>
              <w:pStyle w:val="82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"Раннее эстетическое развитие" (группа </w:t>
              <w:br w:type="textWrapping" w:clear="all"/>
              <w:t xml:space="preserve">7 человек)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"Подготовительное отделение</w:t>
            </w:r>
            <w:r>
              <w:rPr>
                <w:highlight w:val="white"/>
              </w:rPr>
              <w:t xml:space="preserve">" (группа           </w:t>
            </w: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  <w:t xml:space="preserve"> человек);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"Музыкальный воркшоп" </w:t>
            </w:r>
            <w:r>
              <w:rPr>
                <w:highlight w:val="white"/>
              </w:rPr>
              <w:t xml:space="preserve">(групп</w:t>
            </w:r>
            <w:r>
              <w:rPr>
                <w:highlight w:val="white"/>
              </w:rPr>
              <w:t xml:space="preserve">а </w:t>
              <w:br w:type="textWrapping" w:clear="all"/>
              <w:t xml:space="preserve">5</w:t>
            </w:r>
            <w:r>
              <w:rPr>
                <w:highlight w:val="white"/>
              </w:rPr>
              <w:t xml:space="preserve"> человек)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828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828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>
              <w:t xml:space="preserve">25</w:t>
            </w:r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>
              <w:t xml:space="preserve">3</w:t>
            </w:r>
            <w:r>
              <w:t xml:space="preserve">0</w:t>
            </w:r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>
              <w:t xml:space="preserve">3</w:t>
            </w:r>
            <w:r>
              <w:t xml:space="preserve">0</w:t>
            </w:r>
            <w:r/>
          </w:p>
        </w:tc>
        <w:tc>
          <w:tcPr>
            <w:tcMar>
              <w:top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828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828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>
              <w:t xml:space="preserve">154</w:t>
            </w:r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>
              <w:t xml:space="preserve">136</w:t>
            </w:r>
            <w:r/>
          </w:p>
          <w:p>
            <w:pPr>
              <w:pStyle w:val="828"/>
              <w:jc w:val="center"/>
            </w:pPr>
            <w:r/>
            <w:r/>
          </w:p>
          <w:p>
            <w:pPr>
              <w:pStyle w:val="828"/>
              <w:jc w:val="center"/>
            </w:pPr>
            <w:r>
              <w:t xml:space="preserve">218</w:t>
            </w:r>
            <w:r/>
          </w:p>
          <w:p>
            <w:pPr>
              <w:pStyle w:val="828"/>
              <w:jc w:val="center"/>
            </w:pPr>
            <w:r/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28"/>
              <w:jc w:val="center"/>
            </w:pPr>
            <w:r>
              <w:t xml:space="preserve">2.</w:t>
            </w:r>
            <w:r/>
          </w:p>
        </w:tc>
        <w:tc>
          <w:tcPr>
            <w:tcMar>
              <w:top w:w="0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28"/>
              <w:jc w:val="both"/>
            </w:pPr>
            <w:r>
              <w:t xml:space="preserve">Репетиторство </w:t>
            </w:r>
            <w:r>
              <w:t xml:space="preserve">(</w:t>
            </w:r>
            <w:r>
              <w:t xml:space="preserve">индивидуально</w:t>
            </w:r>
            <w:r>
              <w:t xml:space="preserve">) </w:t>
            </w:r>
            <w:r/>
          </w:p>
        </w:tc>
        <w:tc>
          <w:tcPr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highlight w:val="yellow"/>
              </w:rPr>
            </w:pPr>
            <w:r>
              <w:t xml:space="preserve">4</w:t>
            </w:r>
            <w:r>
              <w:t xml:space="preserve">0</w:t>
            </w:r>
            <w:r>
              <w:rPr>
                <w:highlight w:val="yellow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highlight w:val="yellow"/>
              </w:rPr>
            </w:pPr>
            <w:r>
              <w:t xml:space="preserve">1 231</w:t>
            </w:r>
            <w:r/>
          </w:p>
        </w:tc>
      </w:tr>
    </w:tbl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sz w:val="24"/>
      <w:szCs w:val="24"/>
      <w:lang w:val="ru-RU" w:eastAsia="ru-RU" w:bidi="ar-SA"/>
    </w:rPr>
  </w:style>
  <w:style w:type="paragraph" w:styleId="829">
    <w:name w:val="Заголовок 1"/>
    <w:basedOn w:val="828"/>
    <w:next w:val="828"/>
    <w:link w:val="828"/>
    <w:qFormat/>
    <w:pPr>
      <w:jc w:val="center"/>
      <w:keepNext/>
      <w:outlineLvl w:val="0"/>
    </w:pPr>
    <w:rPr>
      <w:sz w:val="28"/>
    </w:rPr>
  </w:style>
  <w:style w:type="character" w:styleId="830">
    <w:name w:val="Основной шрифт абзаца"/>
    <w:next w:val="830"/>
    <w:link w:val="828"/>
    <w:semiHidden/>
  </w:style>
  <w:style w:type="table" w:styleId="831">
    <w:name w:val="Обычная таблица"/>
    <w:next w:val="831"/>
    <w:link w:val="828"/>
    <w:semiHidden/>
    <w:tblPr/>
  </w:style>
  <w:style w:type="numbering" w:styleId="832">
    <w:name w:val="Нет списка"/>
    <w:next w:val="832"/>
    <w:link w:val="828"/>
    <w:semiHidden/>
  </w:style>
  <w:style w:type="paragraph" w:styleId="833">
    <w:name w:val="Текст выноски"/>
    <w:basedOn w:val="828"/>
    <w:next w:val="833"/>
    <w:link w:val="834"/>
    <w:rPr>
      <w:rFonts w:ascii="Tahoma" w:hAnsi="Tahoma"/>
      <w:sz w:val="16"/>
      <w:szCs w:val="16"/>
      <w:lang w:val="en-US" w:eastAsia="en-US"/>
    </w:rPr>
  </w:style>
  <w:style w:type="character" w:styleId="834">
    <w:name w:val="Текст выноски Знак"/>
    <w:next w:val="834"/>
    <w:link w:val="833"/>
    <w:rPr>
      <w:rFonts w:ascii="Tahoma" w:hAnsi="Tahoma" w:cs="Tahoma"/>
      <w:sz w:val="16"/>
      <w:szCs w:val="16"/>
    </w:rPr>
  </w:style>
  <w:style w:type="paragraph" w:styleId="835">
    <w:name w:val="Верхний колонтитул"/>
    <w:basedOn w:val="828"/>
    <w:next w:val="835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uiPriority w:val="99"/>
    <w:rPr>
      <w:sz w:val="24"/>
      <w:szCs w:val="24"/>
    </w:rPr>
  </w:style>
  <w:style w:type="paragraph" w:styleId="837">
    <w:name w:val="Нижний колонтитул"/>
    <w:basedOn w:val="828"/>
    <w:next w:val="837"/>
    <w:link w:val="838"/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paragraph" w:styleId="839">
    <w:name w:val="ConsPlusNormal"/>
    <w:next w:val="839"/>
    <w:link w:val="828"/>
    <w:pPr>
      <w:widowControl w:val="off"/>
    </w:pPr>
    <w:rPr>
      <w:sz w:val="24"/>
      <w:szCs w:val="24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8</cp:revision>
  <dcterms:created xsi:type="dcterms:W3CDTF">2025-06-10T05:05:00Z</dcterms:created>
  <dcterms:modified xsi:type="dcterms:W3CDTF">2025-07-16T05:08:29Z</dcterms:modified>
  <cp:version>917504</cp:version>
</cp:coreProperties>
</file>