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5E" w:rsidRDefault="00473B5E" w:rsidP="00473B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Отношение жителей города к благоустройству </w:t>
      </w:r>
    </w:p>
    <w:p w:rsidR="00473B5E" w:rsidRDefault="00473B5E" w:rsidP="00473B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города Нижневартовска </w:t>
      </w:r>
    </w:p>
    <w:p w:rsidR="00473B5E" w:rsidRPr="00473B5E" w:rsidRDefault="00473B5E" w:rsidP="00473B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(краткая информация)</w:t>
      </w:r>
    </w:p>
    <w:p w:rsidR="00473B5E" w:rsidRPr="00473B5E" w:rsidRDefault="00473B5E" w:rsidP="00473B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B5E" w:rsidRDefault="00473B5E" w:rsidP="004F5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проводилось отделом анализа общественного мнения управления по взаимодействию со средствами массовой информации администрации города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47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 </w:t>
      </w:r>
    </w:p>
    <w:p w:rsidR="00473B5E" w:rsidRDefault="00473B5E" w:rsidP="00473B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5E" w:rsidRPr="00473B5E" w:rsidRDefault="00473B5E" w:rsidP="00473B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B5E">
        <w:rPr>
          <w:rFonts w:ascii="Times New Roman" w:hAnsi="Times New Roman" w:cs="Times New Roman"/>
          <w:sz w:val="28"/>
          <w:szCs w:val="28"/>
        </w:rPr>
        <w:t xml:space="preserve">Настоящий опрос был призван выяснить, как сегодня горожане оценивают благоустройство города и насколько они довольны изменениями, произошедшими за последний год. </w:t>
      </w:r>
      <w:bookmarkStart w:id="0" w:name="_GoBack"/>
      <w:bookmarkEnd w:id="0"/>
    </w:p>
    <w:p w:rsidR="00473B5E" w:rsidRPr="00473B5E" w:rsidRDefault="00473B5E" w:rsidP="00473B5E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B5E">
        <w:rPr>
          <w:rFonts w:ascii="Times New Roman" w:hAnsi="Times New Roman" w:cs="Times New Roman"/>
          <w:sz w:val="28"/>
          <w:szCs w:val="28"/>
        </w:rPr>
        <w:t>Четверть участников опроса считают, что Нижневартовск благоустроен отлично – 25,9%. Еще 45,9% ответили, что степень благоустройства города их удовлетворяет, но есть недочеты. Каждый пятый отмечает, что Нижневартовск благоустроен посредственно – 19,6%. О том, что город совершенно неблагоустроен заявили 4,1% опрошенных.</w:t>
      </w:r>
    </w:p>
    <w:p w:rsidR="00473B5E" w:rsidRPr="00473B5E" w:rsidRDefault="00473B5E" w:rsidP="00FA24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52EEA" wp14:editId="2E25989B">
            <wp:extent cx="5114925" cy="2743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3B5E" w:rsidRPr="00473B5E" w:rsidRDefault="00473B5E" w:rsidP="00FA245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B5E">
        <w:rPr>
          <w:rFonts w:ascii="Times New Roman" w:hAnsi="Times New Roman" w:cs="Times New Roman"/>
          <w:b/>
          <w:i/>
          <w:sz w:val="28"/>
          <w:szCs w:val="28"/>
        </w:rPr>
        <w:t>Рис.</w:t>
      </w:r>
      <w:r w:rsidR="00FA24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73B5E">
        <w:rPr>
          <w:rFonts w:ascii="Times New Roman" w:hAnsi="Times New Roman" w:cs="Times New Roman"/>
          <w:b/>
          <w:i/>
          <w:sz w:val="28"/>
          <w:szCs w:val="28"/>
        </w:rPr>
        <w:t>. Распределение ответов на вопрос «Удовлетворяет ли Вас степень благоустройства Нижневартовска?» (%)</w:t>
      </w:r>
    </w:p>
    <w:p w:rsidR="00FA2453" w:rsidRDefault="00FA2453" w:rsidP="00473B5E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B5E" w:rsidRPr="00473B5E" w:rsidRDefault="00473B5E" w:rsidP="00473B5E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B5E">
        <w:rPr>
          <w:rFonts w:ascii="Times New Roman" w:hAnsi="Times New Roman" w:cs="Times New Roman"/>
          <w:sz w:val="28"/>
          <w:szCs w:val="28"/>
        </w:rPr>
        <w:t xml:space="preserve">Положительную динамику в сфере благоустройства города за последний год отмечают 75,6% опрошенных. О том, что ситуация не меняется говорят 14,4%. Об ухудшении ситуации заявили 7,8% участников опроса. </w:t>
      </w:r>
    </w:p>
    <w:p w:rsidR="00473B5E" w:rsidRPr="00473B5E" w:rsidRDefault="00473B5E" w:rsidP="00FA2453">
      <w:pPr>
        <w:spacing w:after="0" w:line="276" w:lineRule="auto"/>
        <w:jc w:val="center"/>
        <w:rPr>
          <w:b/>
          <w:smallCaps/>
        </w:rPr>
      </w:pPr>
      <w:r w:rsidRPr="00473B5E">
        <w:rPr>
          <w:noProof/>
          <w:lang w:eastAsia="ru-RU"/>
        </w:rPr>
        <w:lastRenderedPageBreak/>
        <w:drawing>
          <wp:inline distT="0" distB="0" distL="0" distR="0" wp14:anchorId="2C953733" wp14:editId="73736B94">
            <wp:extent cx="5057775" cy="27432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3B5E" w:rsidRPr="00473B5E" w:rsidRDefault="00473B5E" w:rsidP="00FA245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B5E">
        <w:rPr>
          <w:rFonts w:ascii="Times New Roman" w:hAnsi="Times New Roman" w:cs="Times New Roman"/>
          <w:b/>
          <w:i/>
          <w:sz w:val="28"/>
          <w:szCs w:val="28"/>
        </w:rPr>
        <w:t>Рис.</w:t>
      </w:r>
      <w:r w:rsidR="00FA245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73B5E">
        <w:rPr>
          <w:rFonts w:ascii="Times New Roman" w:hAnsi="Times New Roman" w:cs="Times New Roman"/>
          <w:b/>
          <w:i/>
          <w:sz w:val="28"/>
          <w:szCs w:val="28"/>
        </w:rPr>
        <w:t>. Распределение ответов на вопрос «На Ваш взгляд, как изменилась ситуация с благоустройством города за последний год?» (%)</w:t>
      </w:r>
    </w:p>
    <w:p w:rsidR="00FA2453" w:rsidRDefault="00FA2453" w:rsidP="00FA24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53" w:rsidRDefault="00473B5E" w:rsidP="00FA24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5E">
        <w:rPr>
          <w:rFonts w:ascii="Times New Roman" w:hAnsi="Times New Roman" w:cs="Times New Roman"/>
          <w:sz w:val="28"/>
          <w:szCs w:val="28"/>
        </w:rPr>
        <w:t xml:space="preserve">В ходе опроса мы поинтересовались у жителей города какой объект города требует первостепенного благоустройства. </w:t>
      </w:r>
      <w:r w:rsidR="00FA2453" w:rsidRPr="00473B5E">
        <w:rPr>
          <w:rFonts w:ascii="Times New Roman" w:hAnsi="Times New Roman" w:cs="Times New Roman"/>
          <w:sz w:val="28"/>
          <w:szCs w:val="28"/>
        </w:rPr>
        <w:t>Первые места в рейтинге объектов заняли набережная (39,4%), парк Победы (36,1%) и территория зоны отдыха Комсомольского озера (32,3%).</w:t>
      </w:r>
    </w:p>
    <w:p w:rsidR="00FA2453" w:rsidRPr="00FA2453" w:rsidRDefault="00FA2453" w:rsidP="00FA24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5E" w:rsidRPr="00473B5E" w:rsidRDefault="00473B5E" w:rsidP="00FA2453">
      <w:pPr>
        <w:spacing w:after="0" w:line="276" w:lineRule="auto"/>
        <w:jc w:val="center"/>
        <w:rPr>
          <w:b/>
          <w:smallCaps/>
        </w:rPr>
      </w:pPr>
      <w:r w:rsidRPr="00473B5E">
        <w:rPr>
          <w:noProof/>
          <w:lang w:eastAsia="ru-RU"/>
        </w:rPr>
        <w:drawing>
          <wp:inline distT="0" distB="0" distL="0" distR="0" wp14:anchorId="05B1FB79" wp14:editId="18091140">
            <wp:extent cx="5940425" cy="3724275"/>
            <wp:effectExtent l="0" t="0" r="317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3B5E" w:rsidRPr="00473B5E" w:rsidRDefault="00473B5E" w:rsidP="00FA245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B5E">
        <w:rPr>
          <w:rFonts w:ascii="Times New Roman" w:hAnsi="Times New Roman" w:cs="Times New Roman"/>
          <w:b/>
          <w:i/>
          <w:sz w:val="28"/>
          <w:szCs w:val="28"/>
        </w:rPr>
        <w:t>Рис.</w:t>
      </w:r>
      <w:r w:rsidR="00FA24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73B5E">
        <w:rPr>
          <w:rFonts w:ascii="Times New Roman" w:hAnsi="Times New Roman" w:cs="Times New Roman"/>
          <w:b/>
          <w:i/>
          <w:sz w:val="28"/>
          <w:szCs w:val="28"/>
        </w:rPr>
        <w:t xml:space="preserve">. Распределение ответов на вопрос «Благоустройство какого из перечисленных объектов Вы считаете первостепенным?» </w:t>
      </w:r>
      <w:r w:rsidRPr="00473B5E">
        <w:rPr>
          <w:rFonts w:ascii="Times New Roman" w:hAnsi="Times New Roman" w:cs="Times New Roman"/>
          <w:i/>
          <w:sz w:val="28"/>
          <w:szCs w:val="28"/>
        </w:rPr>
        <w:t>(сумма превышает 100%, поскольку один опрошенный мог дать несколько ответов одновременно)</w:t>
      </w:r>
    </w:p>
    <w:p w:rsidR="00473B5E" w:rsidRPr="00473B5E" w:rsidRDefault="00FA2453" w:rsidP="00473B5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73B5E" w:rsidRPr="00473B5E">
        <w:rPr>
          <w:rFonts w:ascii="Times New Roman" w:hAnsi="Times New Roman" w:cs="Times New Roman"/>
          <w:sz w:val="28"/>
          <w:szCs w:val="28"/>
        </w:rPr>
        <w:t xml:space="preserve"> ходе 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5E" w:rsidRPr="00473B5E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>
        <w:rPr>
          <w:rFonts w:ascii="Times New Roman" w:hAnsi="Times New Roman" w:cs="Times New Roman"/>
          <w:sz w:val="28"/>
          <w:szCs w:val="28"/>
        </w:rPr>
        <w:t xml:space="preserve">был задан </w:t>
      </w:r>
      <w:r w:rsidR="00473B5E" w:rsidRPr="00473B5E">
        <w:rPr>
          <w:rFonts w:ascii="Times New Roman" w:hAnsi="Times New Roman" w:cs="Times New Roman"/>
          <w:sz w:val="28"/>
          <w:szCs w:val="28"/>
        </w:rPr>
        <w:t xml:space="preserve">блок вопросов о текущем состоянии дорог, дворов, освещения, озеленения </w:t>
      </w:r>
      <w:r w:rsidR="00473B5E" w:rsidRPr="0047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(респондентов просили оценить состояние по пятибалльной шкале как в школе). </w:t>
      </w:r>
    </w:p>
    <w:p w:rsidR="00473B5E" w:rsidRPr="00473B5E" w:rsidRDefault="00473B5E" w:rsidP="00473B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B5E">
        <w:rPr>
          <w:rFonts w:ascii="Times New Roman" w:hAnsi="Times New Roman" w:cs="Times New Roman"/>
          <w:sz w:val="28"/>
          <w:szCs w:val="28"/>
        </w:rPr>
        <w:t xml:space="preserve">Наиболее высоко горожане оценили освещение улиц (76,2% участников опроса поставили 4 и 5 баллов), а также ухоженность зеленых посадок (65,2%). Более подробно оценки представлены на гистограмме </w:t>
      </w:r>
      <w:r w:rsidR="00FA2453">
        <w:rPr>
          <w:rFonts w:ascii="Times New Roman" w:hAnsi="Times New Roman" w:cs="Times New Roman"/>
          <w:sz w:val="28"/>
          <w:szCs w:val="28"/>
        </w:rPr>
        <w:t>4</w:t>
      </w:r>
      <w:r w:rsidRPr="00473B5E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473B5E" w:rsidRPr="00473B5E" w:rsidRDefault="00473B5E" w:rsidP="00473B5E">
      <w:pPr>
        <w:spacing w:after="0" w:line="276" w:lineRule="auto"/>
        <w:jc w:val="center"/>
        <w:rPr>
          <w:b/>
          <w:smallCaps/>
        </w:rPr>
      </w:pPr>
      <w:r w:rsidRPr="00473B5E">
        <w:rPr>
          <w:noProof/>
          <w:lang w:eastAsia="ru-RU"/>
        </w:rPr>
        <w:drawing>
          <wp:inline distT="0" distB="0" distL="0" distR="0" wp14:anchorId="2A5105C6" wp14:editId="01573CEC">
            <wp:extent cx="5286376" cy="28194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3B5E" w:rsidRPr="00473B5E" w:rsidRDefault="00473B5E" w:rsidP="00473B5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3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Рис.</w:t>
      </w:r>
      <w:r w:rsidR="00FA2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73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Текущие оценки благоустроенности (5 – очень высоко, 1 – очень низко) </w:t>
      </w:r>
    </w:p>
    <w:p w:rsidR="00473B5E" w:rsidRPr="00473B5E" w:rsidRDefault="00473B5E" w:rsidP="00473B5E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2453" w:rsidRPr="00FA2453" w:rsidRDefault="00FA2453" w:rsidP="00FA24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2453">
        <w:rPr>
          <w:rFonts w:ascii="Times New Roman" w:hAnsi="Times New Roman" w:cs="Times New Roman"/>
          <w:sz w:val="28"/>
          <w:szCs w:val="28"/>
        </w:rPr>
        <w:t xml:space="preserve"> сферам, в которых </w:t>
      </w:r>
      <w:r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r w:rsidRPr="00FA2453">
        <w:rPr>
          <w:rFonts w:ascii="Times New Roman" w:hAnsi="Times New Roman" w:cs="Times New Roman"/>
          <w:sz w:val="28"/>
          <w:szCs w:val="28"/>
        </w:rPr>
        <w:t xml:space="preserve">произошли наиболее заметные улучшения горожане отнесли озеленение города (57,4% отметили улучшение ситуации за последний год) и освещение города (54,4% заметили улучшения). </w:t>
      </w:r>
    </w:p>
    <w:p w:rsidR="00FA2453" w:rsidRDefault="00FA2453" w:rsidP="00FA24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453" w:rsidRPr="00FA2453" w:rsidRDefault="00FA2453" w:rsidP="00FA24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представлено на гистограмме </w:t>
      </w:r>
      <w:r w:rsidR="00987F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B5E" w:rsidRPr="00473B5E" w:rsidRDefault="00473B5E" w:rsidP="00473B5E">
      <w:pPr>
        <w:spacing w:after="0" w:line="276" w:lineRule="auto"/>
        <w:jc w:val="center"/>
        <w:rPr>
          <w:b/>
          <w:smallCaps/>
        </w:rPr>
      </w:pPr>
      <w:r w:rsidRPr="00473B5E">
        <w:rPr>
          <w:noProof/>
          <w:lang w:eastAsia="ru-RU"/>
        </w:rPr>
        <w:drawing>
          <wp:inline distT="0" distB="0" distL="0" distR="0" wp14:anchorId="0AC8E1DC" wp14:editId="578D6A45">
            <wp:extent cx="5410200" cy="296227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3B5E" w:rsidRPr="00473B5E" w:rsidRDefault="00473B5E" w:rsidP="00473B5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B5E">
        <w:rPr>
          <w:rFonts w:ascii="Times New Roman" w:hAnsi="Times New Roman" w:cs="Times New Roman"/>
          <w:b/>
          <w:i/>
          <w:sz w:val="28"/>
          <w:szCs w:val="28"/>
        </w:rPr>
        <w:t>Рис.</w:t>
      </w:r>
      <w:r w:rsidR="00987F0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73B5E">
        <w:rPr>
          <w:rFonts w:ascii="Times New Roman" w:hAnsi="Times New Roman" w:cs="Times New Roman"/>
          <w:b/>
          <w:i/>
          <w:sz w:val="28"/>
          <w:szCs w:val="28"/>
        </w:rPr>
        <w:t>. Оценка изменений, произошедших за последний год (%)</w:t>
      </w:r>
    </w:p>
    <w:sectPr w:rsidR="00473B5E" w:rsidRPr="0047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21"/>
    <w:rsid w:val="00473B5E"/>
    <w:rsid w:val="004F53C4"/>
    <w:rsid w:val="005C00E6"/>
    <w:rsid w:val="007B385B"/>
    <w:rsid w:val="00820B21"/>
    <w:rsid w:val="00853B7E"/>
    <w:rsid w:val="00987F08"/>
    <w:rsid w:val="00C03269"/>
    <w:rsid w:val="00F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781C"/>
  <w15:chartTrackingRefBased/>
  <w15:docId w15:val="{16120E2E-E01C-4FAF-85EB-991F8072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Степень благоустройства Нижневартовска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Лист1!$B$21:$B$25</c:f>
              <c:strCache>
                <c:ptCount val="5"/>
                <c:pt idx="0">
                  <c:v>да, город отлично благоустроен</c:v>
                </c:pt>
                <c:pt idx="1">
                  <c:v>да, но есть недочеты</c:v>
                </c:pt>
                <c:pt idx="2">
                  <c:v>город благоустроен посредственно</c:v>
                </c:pt>
                <c:pt idx="3">
                  <c:v>нет, город неблагоустроен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Лист1!$C$21:$C$25</c:f>
              <c:numCache>
                <c:formatCode>General</c:formatCode>
                <c:ptCount val="5"/>
                <c:pt idx="0">
                  <c:v>25.9</c:v>
                </c:pt>
                <c:pt idx="1">
                  <c:v>45.9</c:v>
                </c:pt>
                <c:pt idx="2">
                  <c:v>19.600000000000001</c:v>
                </c:pt>
                <c:pt idx="3">
                  <c:v>4.0999999999999996</c:v>
                </c:pt>
                <c:pt idx="4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74-4D23-B470-FED498A54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1284592"/>
        <c:axId val="1760769984"/>
      </c:barChart>
      <c:catAx>
        <c:axId val="176128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0769984"/>
        <c:crosses val="autoZero"/>
        <c:auto val="1"/>
        <c:lblAlgn val="ctr"/>
        <c:lblOffset val="100"/>
        <c:noMultiLvlLbl val="0"/>
      </c:catAx>
      <c:valAx>
        <c:axId val="176076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128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Изменение ситуации за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6">
                    <a:lumMod val="0"/>
                    <a:lumOff val="100000"/>
                  </a:schemeClr>
                </a:gs>
                <a:gs pos="0">
                  <a:schemeClr val="accent6">
                    <a:lumMod val="0"/>
                    <a:lumOff val="100000"/>
                  </a:schemeClr>
                </a:gs>
                <a:gs pos="100000">
                  <a:schemeClr val="accent6">
                    <a:lumMod val="100000"/>
                  </a:schemeClr>
                </a:gs>
              </a:gsLst>
              <a:path path="circle">
                <a:fillToRect l="50000" t="-80000" r="50000" b="180000"/>
              </a:path>
              <a:tileRect/>
            </a:gra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Лист1!$B$51:$B$54</c:f>
              <c:strCache>
                <c:ptCount val="4"/>
                <c:pt idx="0">
                  <c:v>улучшилась + скорее улучшилась</c:v>
                </c:pt>
                <c:pt idx="1">
                  <c:v>не изменилась</c:v>
                </c:pt>
                <c:pt idx="2">
                  <c:v>скорее ухудшилась + ухудшилась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Лист1!$C$51:$C$54</c:f>
              <c:numCache>
                <c:formatCode>General</c:formatCode>
                <c:ptCount val="4"/>
                <c:pt idx="0">
                  <c:v>75.599999999999994</c:v>
                </c:pt>
                <c:pt idx="1">
                  <c:v>14.4</c:v>
                </c:pt>
                <c:pt idx="2">
                  <c:v>7.8</c:v>
                </c:pt>
                <c:pt idx="3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5-4A06-B51E-76A8FE4A0C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4101920"/>
        <c:axId val="1854114880"/>
      </c:barChart>
      <c:catAx>
        <c:axId val="1854101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114880"/>
        <c:crosses val="autoZero"/>
        <c:auto val="1"/>
        <c:lblAlgn val="ctr"/>
        <c:lblOffset val="100"/>
        <c:noMultiLvlLbl val="0"/>
      </c:catAx>
      <c:valAx>
        <c:axId val="1854114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10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Объекты, требующие первостепенного благоустройства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fld id="{00D19E76-51D6-9847-9559-1B1400A666AE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363-4616-9DC3-DAC92604B4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Лист1!$B$77:$B$87</c:f>
              <c:strCache>
                <c:ptCount val="11"/>
                <c:pt idx="0">
                  <c:v>набережная </c:v>
                </c:pt>
                <c:pt idx="1">
                  <c:v>парк Победы</c:v>
                </c:pt>
                <c:pt idx="2">
                  <c:v>территория зоны отдыха озера Комсомольского </c:v>
                </c:pt>
                <c:pt idx="3">
                  <c:v>улица Ханты-Мансийская (от пересечения с ул. Интернациональной до Старовартовского кольца)</c:v>
                </c:pt>
                <c:pt idx="4">
                  <c:v>площадь старой автостанции (напротив ДК «Октябрь»)</c:v>
                </c:pt>
                <c:pt idx="5">
                  <c:v>территория Старого Вартовска</c:v>
                </c:pt>
                <c:pt idx="6">
                  <c:v>площадь ж/д вокзала</c:v>
                </c:pt>
                <c:pt idx="7">
                  <c:v>площадь Нефтяников (напротив Дворца Искусств)</c:v>
                </c:pt>
                <c:pt idx="8">
                  <c:v>благоустройство проспекта Победы (от Дворца Искусств до ул. Мира)        </c:v>
                </c:pt>
                <c:pt idx="9">
                  <c:v>сквер Спортивной славы (в районе стадиона «Центральный»)</c:v>
                </c:pt>
                <c:pt idx="10">
                  <c:v>другое</c:v>
                </c:pt>
              </c:strCache>
            </c:strRef>
          </c:cat>
          <c:val>
            <c:numRef>
              <c:f>Лист1!$C$77:$C$87</c:f>
              <c:numCache>
                <c:formatCode>General</c:formatCode>
                <c:ptCount val="11"/>
                <c:pt idx="0">
                  <c:v>39.4</c:v>
                </c:pt>
                <c:pt idx="1">
                  <c:v>36.1</c:v>
                </c:pt>
                <c:pt idx="2">
                  <c:v>32.299999999999997</c:v>
                </c:pt>
                <c:pt idx="3">
                  <c:v>25.3</c:v>
                </c:pt>
                <c:pt idx="4">
                  <c:v>21.6</c:v>
                </c:pt>
                <c:pt idx="5">
                  <c:v>19.3</c:v>
                </c:pt>
                <c:pt idx="6">
                  <c:v>13</c:v>
                </c:pt>
                <c:pt idx="7">
                  <c:v>10.8</c:v>
                </c:pt>
                <c:pt idx="8">
                  <c:v>9.3000000000000007</c:v>
                </c:pt>
                <c:pt idx="9">
                  <c:v>7.8</c:v>
                </c:pt>
                <c:pt idx="10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63-4616-9DC3-DAC92604B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4306224"/>
        <c:axId val="1854310432"/>
      </c:barChart>
      <c:catAx>
        <c:axId val="185430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310432"/>
        <c:crosses val="autoZero"/>
        <c:auto val="1"/>
        <c:lblAlgn val="ctr"/>
        <c:lblOffset val="100"/>
        <c:noMultiLvlLbl val="0"/>
      </c:catAx>
      <c:valAx>
        <c:axId val="1854310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30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графики!$C$124</c:f>
              <c:strCache>
                <c:ptCount val="1"/>
                <c:pt idx="0">
                  <c:v>низкая (1-2 балла)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графики!$B$125:$B$130</c:f>
              <c:strCache>
                <c:ptCount val="6"/>
                <c:pt idx="0">
                  <c:v>Дороги (уличная сеть)</c:v>
                </c:pt>
                <c:pt idx="1">
                  <c:v>Тротуары вдоль улиц</c:v>
                </c:pt>
                <c:pt idx="2">
                  <c:v>Ухоженность зеленых посадок</c:v>
                </c:pt>
                <c:pt idx="3">
                  <c:v>Освещение улиц</c:v>
                </c:pt>
                <c:pt idx="4">
                  <c:v>Освещение дворов</c:v>
                </c:pt>
                <c:pt idx="5">
                  <c:v>Благоустроенность дворов</c:v>
                </c:pt>
              </c:strCache>
            </c:strRef>
          </c:cat>
          <c:val>
            <c:numRef>
              <c:f>графики!$C$125:$C$130</c:f>
              <c:numCache>
                <c:formatCode>General</c:formatCode>
                <c:ptCount val="6"/>
                <c:pt idx="0">
                  <c:v>15.600000000000001</c:v>
                </c:pt>
                <c:pt idx="1">
                  <c:v>17.399999999999999</c:v>
                </c:pt>
                <c:pt idx="2">
                  <c:v>4.8000000000000007</c:v>
                </c:pt>
                <c:pt idx="3">
                  <c:v>5.6000000000000005</c:v>
                </c:pt>
                <c:pt idx="4">
                  <c:v>19.7</c:v>
                </c:pt>
                <c:pt idx="5">
                  <c:v>21.9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BA-4EB5-9581-1B66DD8619A4}"/>
            </c:ext>
          </c:extLst>
        </c:ser>
        <c:ser>
          <c:idx val="1"/>
          <c:order val="1"/>
          <c:tx>
            <c:strRef>
              <c:f>графики!$D$124</c:f>
              <c:strCache>
                <c:ptCount val="1"/>
                <c:pt idx="0">
                  <c:v>средняя (3 балла)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fld id="{F806D95F-7ED5-4AE0-B52F-58D12B2B6BE2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BBA-4EB5-9581-1B66DD8619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графики!$B$125:$B$130</c:f>
              <c:strCache>
                <c:ptCount val="6"/>
                <c:pt idx="0">
                  <c:v>Дороги (уличная сеть)</c:v>
                </c:pt>
                <c:pt idx="1">
                  <c:v>Тротуары вдоль улиц</c:v>
                </c:pt>
                <c:pt idx="2">
                  <c:v>Ухоженность зеленых посадок</c:v>
                </c:pt>
                <c:pt idx="3">
                  <c:v>Освещение улиц</c:v>
                </c:pt>
                <c:pt idx="4">
                  <c:v>Освещение дворов</c:v>
                </c:pt>
                <c:pt idx="5">
                  <c:v>Благоустроенность дворов</c:v>
                </c:pt>
              </c:strCache>
            </c:strRef>
          </c:cat>
          <c:val>
            <c:numRef>
              <c:f>графики!$D$125:$D$130</c:f>
              <c:numCache>
                <c:formatCode>General</c:formatCode>
                <c:ptCount val="6"/>
                <c:pt idx="0">
                  <c:v>38.5</c:v>
                </c:pt>
                <c:pt idx="1">
                  <c:v>33.700000000000003</c:v>
                </c:pt>
                <c:pt idx="2">
                  <c:v>29.3</c:v>
                </c:pt>
                <c:pt idx="3">
                  <c:v>18.100000000000001</c:v>
                </c:pt>
                <c:pt idx="4">
                  <c:v>31.5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BA-4EB5-9581-1B66DD8619A4}"/>
            </c:ext>
          </c:extLst>
        </c:ser>
        <c:ser>
          <c:idx val="2"/>
          <c:order val="2"/>
          <c:tx>
            <c:strRef>
              <c:f>графики!$E$124</c:f>
              <c:strCache>
                <c:ptCount val="1"/>
                <c:pt idx="0">
                  <c:v>высокая (4-5 баллов)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графики!$B$125:$B$130</c:f>
              <c:strCache>
                <c:ptCount val="6"/>
                <c:pt idx="0">
                  <c:v>Дороги (уличная сеть)</c:v>
                </c:pt>
                <c:pt idx="1">
                  <c:v>Тротуары вдоль улиц</c:v>
                </c:pt>
                <c:pt idx="2">
                  <c:v>Ухоженность зеленых посадок</c:v>
                </c:pt>
                <c:pt idx="3">
                  <c:v>Освещение улиц</c:v>
                </c:pt>
                <c:pt idx="4">
                  <c:v>Освещение дворов</c:v>
                </c:pt>
                <c:pt idx="5">
                  <c:v>Благоустроенность дворов</c:v>
                </c:pt>
              </c:strCache>
            </c:strRef>
          </c:cat>
          <c:val>
            <c:numRef>
              <c:f>графики!$E$125:$E$130</c:f>
              <c:numCache>
                <c:formatCode>General</c:formatCode>
                <c:ptCount val="6"/>
                <c:pt idx="0">
                  <c:v>44.4</c:v>
                </c:pt>
                <c:pt idx="1">
                  <c:v>47.8</c:v>
                </c:pt>
                <c:pt idx="2">
                  <c:v>65.2</c:v>
                </c:pt>
                <c:pt idx="3">
                  <c:v>76.2</c:v>
                </c:pt>
                <c:pt idx="4">
                  <c:v>46.7</c:v>
                </c:pt>
                <c:pt idx="5">
                  <c:v>45.2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BA-4EB5-9581-1B66DD861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4553568"/>
        <c:axId val="354548976"/>
      </c:barChart>
      <c:catAx>
        <c:axId val="354553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548976"/>
        <c:crosses val="autoZero"/>
        <c:auto val="1"/>
        <c:lblAlgn val="ctr"/>
        <c:lblOffset val="100"/>
        <c:noMultiLvlLbl val="0"/>
      </c:catAx>
      <c:valAx>
        <c:axId val="354548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55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Изменение ситуации за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графики!$C$387</c:f>
              <c:strCache>
                <c:ptCount val="1"/>
                <c:pt idx="0">
                  <c:v>улучшилась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F8F536B6-E52D-4EDB-B505-57F9BE817B0B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A50-41D1-B2E3-DC90446EEF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графики!$B$388:$B$393</c:f>
              <c:strCache>
                <c:ptCount val="6"/>
                <c:pt idx="0">
                  <c:v>Дороги (уличная сеть)</c:v>
                </c:pt>
                <c:pt idx="1">
                  <c:v>Тротуары вдоль улиц</c:v>
                </c:pt>
                <c:pt idx="2">
                  <c:v>Озеленение города</c:v>
                </c:pt>
                <c:pt idx="3">
                  <c:v>Освещение </c:v>
                </c:pt>
                <c:pt idx="4">
                  <c:v>Парковочные места</c:v>
                </c:pt>
                <c:pt idx="5">
                  <c:v>Благоустройство дворов</c:v>
                </c:pt>
              </c:strCache>
            </c:strRef>
          </c:cat>
          <c:val>
            <c:numRef>
              <c:f>графики!$C$388:$C$393</c:f>
              <c:numCache>
                <c:formatCode>General</c:formatCode>
                <c:ptCount val="6"/>
                <c:pt idx="0">
                  <c:v>45.5</c:v>
                </c:pt>
                <c:pt idx="1">
                  <c:v>50</c:v>
                </c:pt>
                <c:pt idx="2">
                  <c:v>57.4</c:v>
                </c:pt>
                <c:pt idx="3">
                  <c:v>54.4</c:v>
                </c:pt>
                <c:pt idx="4">
                  <c:v>25.2</c:v>
                </c:pt>
                <c:pt idx="5">
                  <c:v>36.299999999999997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50-41D1-B2E3-DC90446EEFCD}"/>
            </c:ext>
          </c:extLst>
        </c:ser>
        <c:ser>
          <c:idx val="1"/>
          <c:order val="1"/>
          <c:tx>
            <c:strRef>
              <c:f>графики!$D$387</c:f>
              <c:strCache>
                <c:ptCount val="1"/>
                <c:pt idx="0">
                  <c:v>не изменилась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007B3520-3312-4705-9401-DB0A5F7EE12D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A50-41D1-B2E3-DC90446EEFC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E5C6BBE-4285-42C3-BE23-07E3339C6991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A50-41D1-B2E3-DC90446EEF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графики!$B$388:$B$393</c:f>
              <c:strCache>
                <c:ptCount val="6"/>
                <c:pt idx="0">
                  <c:v>Дороги (уличная сеть)</c:v>
                </c:pt>
                <c:pt idx="1">
                  <c:v>Тротуары вдоль улиц</c:v>
                </c:pt>
                <c:pt idx="2">
                  <c:v>Озеленение города</c:v>
                </c:pt>
                <c:pt idx="3">
                  <c:v>Освещение </c:v>
                </c:pt>
                <c:pt idx="4">
                  <c:v>Парковочные места</c:v>
                </c:pt>
                <c:pt idx="5">
                  <c:v>Благоустройство дворов</c:v>
                </c:pt>
              </c:strCache>
            </c:strRef>
          </c:cat>
          <c:val>
            <c:numRef>
              <c:f>графики!$D$388:$D$393</c:f>
              <c:numCache>
                <c:formatCode>General</c:formatCode>
                <c:ptCount val="6"/>
                <c:pt idx="0">
                  <c:v>32.6</c:v>
                </c:pt>
                <c:pt idx="1">
                  <c:v>34.1</c:v>
                </c:pt>
                <c:pt idx="2">
                  <c:v>27</c:v>
                </c:pt>
                <c:pt idx="3">
                  <c:v>33</c:v>
                </c:pt>
                <c:pt idx="4">
                  <c:v>29.6</c:v>
                </c:pt>
                <c:pt idx="5">
                  <c:v>50.7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50-41D1-B2E3-DC90446EEFCD}"/>
            </c:ext>
          </c:extLst>
        </c:ser>
        <c:ser>
          <c:idx val="2"/>
          <c:order val="2"/>
          <c:tx>
            <c:strRef>
              <c:f>графики!$E$387</c:f>
              <c:strCache>
                <c:ptCount val="1"/>
                <c:pt idx="0">
                  <c:v>ухудшилась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графики!$B$388:$B$393</c:f>
              <c:strCache>
                <c:ptCount val="6"/>
                <c:pt idx="0">
                  <c:v>Дороги (уличная сеть)</c:v>
                </c:pt>
                <c:pt idx="1">
                  <c:v>Тротуары вдоль улиц</c:v>
                </c:pt>
                <c:pt idx="2">
                  <c:v>Озеленение города</c:v>
                </c:pt>
                <c:pt idx="3">
                  <c:v>Освещение </c:v>
                </c:pt>
                <c:pt idx="4">
                  <c:v>Парковочные места</c:v>
                </c:pt>
                <c:pt idx="5">
                  <c:v>Благоустройство дворов</c:v>
                </c:pt>
              </c:strCache>
            </c:strRef>
          </c:cat>
          <c:val>
            <c:numRef>
              <c:f>графики!$E$388:$E$393</c:f>
              <c:numCache>
                <c:formatCode>General</c:formatCode>
                <c:ptCount val="6"/>
                <c:pt idx="0">
                  <c:v>18.100000000000001</c:v>
                </c:pt>
                <c:pt idx="1">
                  <c:v>12.2</c:v>
                </c:pt>
                <c:pt idx="2">
                  <c:v>11.5</c:v>
                </c:pt>
                <c:pt idx="3">
                  <c:v>10.3</c:v>
                </c:pt>
                <c:pt idx="4">
                  <c:v>35.9</c:v>
                </c:pt>
                <c:pt idx="5">
                  <c:v>11.100000000000001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A50-41D1-B2E3-DC90446EE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8964104"/>
        <c:axId val="358963120"/>
      </c:barChart>
      <c:catAx>
        <c:axId val="358964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963120"/>
        <c:crosses val="autoZero"/>
        <c:auto val="1"/>
        <c:lblAlgn val="ctr"/>
        <c:lblOffset val="100"/>
        <c:noMultiLvlLbl val="0"/>
      </c:catAx>
      <c:valAx>
        <c:axId val="358963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96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Муштакова ВС</dc:creator>
  <cp:keywords/>
  <dc:description/>
  <cp:lastModifiedBy>Муштакова ВС</cp:lastModifiedBy>
  <cp:revision>6</cp:revision>
  <dcterms:created xsi:type="dcterms:W3CDTF">2018-12-29T06:03:00Z</dcterms:created>
  <dcterms:modified xsi:type="dcterms:W3CDTF">2018-12-29T06:28:00Z</dcterms:modified>
</cp:coreProperties>
</file>