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right="498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 утверждении муниципальной программы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Материально-техническое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организационное обеспечение деятельности органов местного самоуправления города Нижневартовска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ации города от 17.04.2024 №310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порядке разработки и реализации муниципальных программ города Нижневартовска, учитывая итоговый протокол общественного обсуждения проекта пост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ановления администрации города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муниципальной программы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Материально-техническое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организационное обеспечение деятельности органов местного самоуправления города Нижневартовска»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03.06.2024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</w:p>
    <w:p>
      <w:pPr>
        <w:pStyle w:val="678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муниципальную программу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Материально-техническое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организационное обеспечение деятельности органов местного самоуправления города Нижневартовска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приложению.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678"/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678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Прекратить с 01.01.2025 реализацию муниципальных программ: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8"/>
        <w:numPr>
          <w:ilvl w:val="0"/>
          <w:numId w:val="10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«Материально-техническое и организационное обеспечение деятельности органов местного самоуправления города Нижневартовска», утвержденной постановлением администрации города от 18.12.2015 №2281;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8"/>
        <w:numPr>
          <w:ilvl w:val="0"/>
          <w:numId w:val="10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«Электронный Нижневартовск», утвержденной постановлением администрации города от 19.07.2016 №1070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8"/>
        <w:numPr>
          <w:ilvl w:val="0"/>
          <w:numId w:val="10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Развитие муниципальной службы в администрации города Нижневартовс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утвержденной постановлением от 20.04.2015 №783.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8"/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678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Департаменту общественных коммуникаций и молодежной политики администрации города (В.А.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Мыльников) обеспечить официальное опубликование постановления.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678"/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</w:p>
    <w:p>
      <w:pPr>
        <w:pStyle w:val="678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вступает в силу после его официального опубликования и применяется к правоотношениям, возникающим при составлении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и утверждении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бюджета города Нижневартовска, начиная с бюджета на 2025 год и на плановый период 2026 и 2027 годов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pStyle w:val="678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выполнением постановления возложить на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у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правляющ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его делами администрации города, начальника управления по вопросам муниципальной сл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ужбы и кадрам администрации города.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Д.А. Кощенко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left="9912"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к постановлению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left="9912"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ind w:left="9912"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_____________ № 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Материально-техническое и организационное обеспечение деятельности органов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89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местного самоуправления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Паспорт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Материально-техническое и организационное обеспечение деятельности органов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местного самоуправления города Нижневартовска</w:t>
      </w:r>
      <w:r>
        <w:rPr>
          <w:rFonts w:ascii="Times New Roman" w:hAnsi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 Основные положения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46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946"/>
        <w:gridCol w:w="7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управляющий делами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делами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2025-2036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right="7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  <w:tab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эффективного функционирования органов местного самоуправления города Нижневартовска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ind w:right="7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  <w:tab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эффективности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муниципальной службы в администрации города Нижневартовска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left="78" w:right="7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5 947 211,55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694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Mar>
              <w:top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88" w:lineRule="atLeas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88" w:lineRule="atLeas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Государственн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88" w:lineRule="atLeas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"Цифровое развитие Ханты-Мансийского автономного округа – Югры";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"Развитие образования";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"Социальное и демографическое развитие";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"Культурное пространство";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"Поддержка занятости населения";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"Строительство";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"Развитие государственной гражданской и муниципальной службы";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"Безопасность жизнедеятельности и профилактика правонарушений";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"Экологическая безопасность"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2. Показатели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4884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002"/>
        <w:gridCol w:w="1117"/>
        <w:gridCol w:w="1134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оказа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Единица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измерения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(по ОКЕИ)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55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12"/>
            <w:tcW w:w="680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Ответственный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за достижение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2036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19"/>
            <w:tcMar>
              <w:top w:w="0" w:type="dxa"/>
              <w:bottom w:w="0" w:type="dxa"/>
            </w:tcMar>
            <w:tcW w:w="1488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Цель 1 «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эффективного функционирования органов местного самоуправления города Нижневартовска»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обеспеченности потребностей органов местного самоуправления в части материально-технического обеспечения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делами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19"/>
            <w:tcMar>
              <w:top w:w="0" w:type="dxa"/>
              <w:bottom w:w="0" w:type="dxa"/>
            </w:tcMar>
            <w:tcW w:w="1488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Цель 2 «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Повышение эффективности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муниципальной службы в администрации города Нижневартовска»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муниципальных служащих администрации города, получивших дополнительное профессиональное образование и принявших участие в семинарах, семинарах-тренингах, тренингах, конференциях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ind w:right="-6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 вопросам муниципальной службы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кадров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муниципальных служащих, прошедших диспансеризацию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количеств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муниципальных служащих, подлежащих диспансеризации, за исключением отсутствующих по уважительной причине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ind w:right="-6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                по вопросам муниципальной службы                        и кадров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02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муниципальных служащих, принявших участие в</w:t>
            </w:r>
            <w:r>
              <w:rPr>
                <w:rFonts w:ascii="Times New Roman" w:hAnsi="Times New Roman" w:eastAsia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конкурсе «Лучший муниципальный служащий администрации города Нижневартовска»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ind w:right="-6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 вопросам муниципальной службы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 кадров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3. План достижения показателей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муниципальной программы в 2025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/>
          <w:b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4864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42" w:type="dxa"/>
          <w:top w:w="0" w:type="dxa"/>
          <w:right w:w="42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5510"/>
        <w:gridCol w:w="1701"/>
        <w:gridCol w:w="1559"/>
        <w:gridCol w:w="1417"/>
        <w:gridCol w:w="1418"/>
        <w:gridCol w:w="1417"/>
        <w:gridCol w:w="12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510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Уровень показателя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Единица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измерения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(по ОКЕИ)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5528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Плановые значения показателя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51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первое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полугодие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9 месяцев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/>
        </w:trPr>
        <w:tc>
          <w:tcPr>
            <w:gridSpan w:val="8"/>
            <w:tcMar>
              <w:top w:w="0" w:type="dxa"/>
              <w:bottom w:w="0" w:type="dxa"/>
            </w:tcMar>
            <w:tcW w:w="14864" w:type="dxa"/>
            <w:vAlign w:val="top"/>
            <w:textDirection w:val="lrTb"/>
            <w:noWrap w:val="false"/>
          </w:tcPr>
          <w:p>
            <w:pPr>
              <w:pStyle w:val="678"/>
              <w:ind w:right="12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Цель 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эффективного функционирования органов местного самоуправления города Нижнева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ртовска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510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обеспеченности потребностей органов местного самоуправления в части материально-технического обеспечения 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/>
        </w:trPr>
        <w:tc>
          <w:tcPr>
            <w:gridSpan w:val="8"/>
            <w:tcMar>
              <w:top w:w="0" w:type="dxa"/>
              <w:bottom w:w="0" w:type="dxa"/>
            </w:tcMar>
            <w:tcW w:w="1486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Цель 2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Повышение эффективности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муниципальной службы в администрации города Нижневартовска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10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color w:val="0070c0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Количество муниципальных служащих администрации города, получивших дополнительное профессиональное образование и принявших участие в семинарах, семинарах-тренингах, тренингах, конференциях</w:t>
            </w:r>
            <w:r>
              <w:rPr>
                <w:rFonts w:ascii="Times New Roman" w:hAnsi="Times New Roman" w:eastAsia="Times New Roman"/>
                <w:color w:val="0070c0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10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trike/>
                <w:color w:val="c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Доля муниципальных служащих, прошедших диспансеризацию, 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 обще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 количеств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 муниципальных служащих, подлежащих диспансеризации, за исключением отсутствующих по уважительной причине</w:t>
            </w:r>
            <w:r>
              <w:rPr>
                <w:rFonts w:ascii="Times New Roman" w:hAnsi="Times New Roman" w:eastAsia="Times New Roman"/>
                <w:strike/>
                <w:color w:val="c00000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"/>
        </w:trPr>
        <w:tc>
          <w:tcPr>
            <w:tcMar>
              <w:top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10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Количество муниципальных служащих, принявших участие в конкурсе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  <w:t xml:space="preserve">Лучший муниципальный служащий администрации города Нижневартовска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Cs w:val="24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4. Структура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53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3906"/>
        <w:gridCol w:w="5760"/>
        <w:gridCol w:w="5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Краткое описание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структурного элемента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501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Связь с показателями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vertAlign w:val="superscript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4685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Осуществление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атериально-техническо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деятельности органов местного самоуправления города Нижневартовска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делами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2025-2036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88" w:lineRule="atLeas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(далее - МКУ "УМТО")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атериально-техническо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678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расходов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самоуправления, в том числе расходы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закупку товаров,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работ, оказание услуг, приобретение основных средств и материальных запасов,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и сопровождение программного обеспечения,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модернизации и поддержке инфраструктуры информационных технологий, обеспечению информационной безопасности,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оплату услуг связи,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обеспечение,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почтовые расходы, аренду помещений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прочие виды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расходов, направленные на хозяйственное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техническое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учтенного на балансе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также прилегающих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правилами и нормами безопасности, производственной санитарии и противопожарной защиты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1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уровень обеспеченности потребностей органов местного самоуправления в части материально-технического обеспечения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4685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кадрового состава в администрации города"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по вопросам муниципальной службы и кадров администрации города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2025-2036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gridSpan w:val="2"/>
            <w:tcW w:w="1077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управление по вопросам муниципальной службы и кадров администрации города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профессионального уровня муниципальных служащих администрации города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678"/>
              <w:spacing w:after="0" w:line="288" w:lineRule="atLeas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дополнительного профессионального образования и мероприятий, направленных на освоение муниципальными служащими администрации города новых знаний и навыков в сфере своей профессиональной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spacing w:after="0" w:line="288" w:lineRule="atLeast"/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c00000"/>
                <w:sz w:val="24"/>
                <w:szCs w:val="24"/>
                <w:lang w:eastAsia="ru-RU"/>
              </w:rPr>
            </w:r>
          </w:p>
        </w:tc>
        <w:tc>
          <w:tcPr>
            <w:tcW w:w="501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муниципальных служащих администрации города, получивших дополнительное профессиональное образование и принявших участие в семинарах, семинарах-тренингах, тренингах, конференциях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Раскрытие профессионального и творческого потенциала муниципальных служащих администрации города, мотивация к поиску решений, направленных на эффективное исполнение ими должностных обязанностей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678"/>
              <w:spacing w:after="0" w:line="288" w:lineRule="atLeast"/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и проведение ежегодного конкурса "Лучший муниципальный служащий администрации города Нижневартовска", выплата премий победителям</w:t>
            </w:r>
            <w:r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501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муниципальных служащих, принявших участие в конкурсе "Лучший муниципальный служащий администрации города Нижневартовска"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90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widowControl w:val="off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Определение рисков развития заболеваний, раннее выявление имеющихся заболеваний, в том числе препятствующих прохождению муниципальной службы, сохранение и укрепление физического и психического здоровья муниципального служащего</w:t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оплата услуг по диспансеризации лиц, замещающих должности муниципальной службы администрации города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5019" w:type="dxa"/>
            <w:vAlign w:val="top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муниципальных служащих, прошедших диспансеризацию, от общего количества муниципальных служащих, подлежащих диспансеризации, за исключением отсутствующих по уважительной причине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5. Финансовое обеспечение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568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2461"/>
        <w:gridCol w:w="1509"/>
        <w:gridCol w:w="800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2461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структурного элемента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509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Источник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vertAlign w:val="superscript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финансового обеспечения</w:t>
            </w:r>
            <w:r>
              <w:rPr>
                <w:rFonts w:ascii="Times New Roman" w:hAnsi="Times New Roman" w:eastAsia="Times New Roman"/>
                <w:b/>
                <w:vertAlign w:val="superscript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vertAlign w:val="superscript"/>
                <w:lang w:val="en-US" w:eastAsia="ru-RU"/>
              </w:rPr>
            </w:r>
          </w:p>
        </w:tc>
        <w:tc>
          <w:tcPr>
            <w:gridSpan w:val="13"/>
            <w:tcW w:w="1114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Объем финансового обеспечения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2461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50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0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2031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2032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2033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2034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2035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2036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3027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Муниципальная программа (всего)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left="-121"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474470,97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4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474266,78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503347,38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9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503347,38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9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503347,38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9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503347,38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9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503347,38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9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496347,38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5947211,55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302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1217,80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302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right="-10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6058,55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67472,87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302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left="-102" w:right="-107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468403,52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468573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,76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-52" w:right="-116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497654,36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490654,36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-52" w:right="-116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497654,36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490654,36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-52" w:right="-116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497654,36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490654,36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52" w:right="-116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497654,36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490654,36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52" w:right="-116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497654,36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490654,36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5878520,88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4536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Объем налоговых расходов (справочно)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61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color w:val="c00000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Комплекс процессных мероприятий "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Осуществление материально-технического обеспечения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деятельности органов местного самоуправления города Нижневартовска"</w:t>
            </w:r>
            <w:r>
              <w:rPr>
                <w:rFonts w:ascii="Times New Roman" w:hAnsi="Times New Roman" w:eastAsia="Times New Roman"/>
                <w:color w:val="c00000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color w:val="c00000"/>
                <w:vertAlign w:val="superscript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left="-102" w:right="-16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468095,00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467720,57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07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489801,17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2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13" w:right="-39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489801,17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-5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5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489801,17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5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57" w:right="-24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489801,17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left="-64" w:right="-154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496801,17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left="-57" w:right="-16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489801,17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5868827,27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61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1217,80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61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бюджет автономного округа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right="-10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6058,55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24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5583,12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67472,87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61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center"/>
            <w:textDirection w:val="lrTb"/>
            <w:noWrap w:val="false"/>
          </w:tcPr>
          <w:p>
            <w:pPr>
              <w:pStyle w:val="678"/>
              <w:ind w:right="-105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62027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,55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62027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,55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491108,15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07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484108,15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2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491108,15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6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484108,15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491108,15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484108,15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12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491108,15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484108,15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78"/>
              <w:ind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491108,15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78"/>
              <w:ind w:right="-104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484108,15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5800136,60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61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Комплекс процессных мероприятий "Развитие кадрового состава               в администрации города"</w:t>
            </w:r>
            <w:r>
              <w:rPr>
                <w:rFonts w:ascii="Times New Roman" w:hAnsi="Times New Roman" w:eastAsia="Times New Roman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vertAlign w:val="superscript"/>
                <w:lang w:eastAsia="ru-RU"/>
              </w:rPr>
            </w:r>
          </w:p>
        </w:tc>
        <w:tc>
          <w:tcPr>
            <w:tcW w:w="1509" w:type="dxa"/>
            <w:vAlign w:val="top"/>
            <w:textDirection w:val="lrTb"/>
            <w:noWrap w:val="false"/>
          </w:tcPr>
          <w:p>
            <w:pPr>
              <w:pStyle w:val="678"/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800" w:type="dxa"/>
            <w:vAlign w:val="top"/>
            <w:textDirection w:val="lrTb"/>
            <w:noWrap w:val="false"/>
          </w:tcPr>
          <w:p>
            <w:pPr>
              <w:pStyle w:val="678"/>
              <w:ind w:right="-30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6375,97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6546,21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6546,21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78"/>
              <w:ind w:right="-121"/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78384,28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</w:tbl>
    <w:p>
      <w:r/>
    </w:p>
    <w:sectPr>
      <w:headerReference w:type="default" r:id="rId10"/>
      <w:headerReference w:type="even" r:id="rId11"/>
      <w:footnotePr/>
      <w:endnotePr/>
      <w:type w:val="nextPage"/>
      <w:pgSz w:w="16838" w:h="11906" w:orient="landscape"/>
      <w:pgMar w:top="709" w:right="1134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702"/>
      </w:rPr>
      <w:framePr w:wrap="around" w:vAnchor="text" w:hAnchor="margin" w:xAlign="center" w:y="1"/>
    </w:pPr>
    <w:r>
      <w:rPr>
        <w:rStyle w:val="702"/>
      </w:rPr>
      <w:fldChar w:fldCharType="begin"/>
    </w:r>
    <w:r>
      <w:rPr>
        <w:rStyle w:val="702"/>
      </w:rPr>
      <w:instrText xml:space="preserve">PAGE  </w:instrText>
    </w:r>
    <w:r>
      <w:rPr>
        <w:rStyle w:val="702"/>
      </w:rPr>
      <w:fldChar w:fldCharType="end"/>
    </w:r>
    <w:r>
      <w:rPr>
        <w:rStyle w:val="702"/>
      </w:rPr>
    </w:r>
    <w:r>
      <w:rPr>
        <w:rStyle w:val="702"/>
      </w:rPr>
    </w:r>
  </w:p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0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0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8"/>
    <w:next w:val="6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next w:val="678"/>
    <w:link w:val="67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679">
    <w:name w:val="Заголовок 2"/>
    <w:basedOn w:val="678"/>
    <w:next w:val="678"/>
    <w:link w:val="683"/>
    <w:semiHidden/>
    <w:unhideWhenUsed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en-US" w:eastAsia="ru-RU"/>
    </w:rPr>
  </w:style>
  <w:style w:type="character" w:styleId="680">
    <w:name w:val="Основной шрифт абзаца"/>
    <w:next w:val="680"/>
    <w:link w:val="678"/>
    <w:uiPriority w:val="1"/>
    <w:unhideWhenUsed/>
  </w:style>
  <w:style w:type="table" w:styleId="681">
    <w:name w:val="Обычная таблица"/>
    <w:next w:val="681"/>
    <w:link w:val="678"/>
    <w:uiPriority w:val="99"/>
    <w:semiHidden/>
    <w:unhideWhenUsed/>
    <w:tblPr/>
  </w:style>
  <w:style w:type="numbering" w:styleId="682">
    <w:name w:val="Нет списка"/>
    <w:next w:val="682"/>
    <w:link w:val="678"/>
    <w:uiPriority w:val="99"/>
    <w:semiHidden/>
    <w:unhideWhenUsed/>
  </w:style>
  <w:style w:type="character" w:styleId="683">
    <w:name w:val="Заголовок 2 Знак"/>
    <w:next w:val="683"/>
    <w:link w:val="679"/>
    <w:semiHidden/>
    <w:rPr>
      <w:rFonts w:ascii="Arial" w:hAnsi="Arial" w:eastAsia="Times New Roman" w:cs="Times New Roman"/>
      <w:b/>
      <w:bCs/>
      <w:i/>
      <w:iCs/>
      <w:sz w:val="28"/>
      <w:szCs w:val="28"/>
      <w:lang w:val="en-US" w:eastAsia="ru-RU"/>
    </w:rPr>
  </w:style>
  <w:style w:type="numbering" w:styleId="684">
    <w:name w:val="Нет списка1"/>
    <w:next w:val="682"/>
    <w:link w:val="678"/>
    <w:uiPriority w:val="99"/>
    <w:semiHidden/>
    <w:unhideWhenUsed/>
  </w:style>
  <w:style w:type="paragraph" w:styleId="685">
    <w:name w:val="ConsPlusTitle"/>
    <w:next w:val="685"/>
    <w:link w:val="678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686">
    <w:name w:val="Абзац списка"/>
    <w:basedOn w:val="678"/>
    <w:next w:val="686"/>
    <w:link w:val="678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7">
    <w:name w:val="Текст выноски"/>
    <w:basedOn w:val="678"/>
    <w:next w:val="687"/>
    <w:link w:val="688"/>
    <w:uiPriority w:val="99"/>
    <w:semiHidden/>
    <w:unhideWhenUsed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688">
    <w:name w:val="Текст выноски Знак"/>
    <w:next w:val="688"/>
    <w:link w:val="6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9">
    <w:name w:val="ConsPlusNormal"/>
    <w:next w:val="689"/>
    <w:link w:val="691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690">
    <w:name w:val="ConsPlusNonformat"/>
    <w:next w:val="690"/>
    <w:link w:val="67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91">
    <w:name w:val="ConsPlusNormal Знак"/>
    <w:next w:val="691"/>
    <w:link w:val="689"/>
    <w:rPr>
      <w:rFonts w:ascii="Calibri" w:hAnsi="Calibri" w:eastAsia="Times New Roman" w:cs="Calibri"/>
      <w:szCs w:val="20"/>
      <w:lang w:eastAsia="ru-RU"/>
    </w:rPr>
  </w:style>
  <w:style w:type="paragraph" w:styleId="692">
    <w:name w:val="Верхний колонтитул"/>
    <w:basedOn w:val="678"/>
    <w:next w:val="692"/>
    <w:link w:val="6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3">
    <w:name w:val="Верхний колонтитул Знак"/>
    <w:next w:val="693"/>
    <w:link w:val="69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4">
    <w:name w:val="Нижний колонтитул"/>
    <w:basedOn w:val="678"/>
    <w:next w:val="694"/>
    <w:link w:val="6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5">
    <w:name w:val="Нижний колонтитул Знак"/>
    <w:next w:val="695"/>
    <w:link w:val="6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6">
    <w:name w:val="Прижатый влево"/>
    <w:basedOn w:val="678"/>
    <w:next w:val="678"/>
    <w:link w:val="678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697">
    <w:name w:val="Нормальный (таблица)"/>
    <w:basedOn w:val="678"/>
    <w:next w:val="678"/>
    <w:link w:val="678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698">
    <w:name w:val="Выделение"/>
    <w:next w:val="698"/>
    <w:link w:val="678"/>
    <w:uiPriority w:val="20"/>
    <w:qFormat/>
    <w:rPr>
      <w:i/>
      <w:iCs/>
    </w:rPr>
  </w:style>
  <w:style w:type="character" w:styleId="699">
    <w:name w:val="Строгий"/>
    <w:next w:val="699"/>
    <w:link w:val="678"/>
    <w:qFormat/>
    <w:rPr>
      <w:b/>
      <w:bCs/>
    </w:rPr>
  </w:style>
  <w:style w:type="paragraph" w:styleId="700">
    <w:name w:val="Обычный (веб)"/>
    <w:basedOn w:val="678"/>
    <w:next w:val="700"/>
    <w:link w:val="678"/>
    <w:uiPriority w:val="99"/>
    <w:unhideWhenUsed/>
    <w:rPr>
      <w:rFonts w:ascii="Times New Roman" w:hAnsi="Times New Roman"/>
      <w:sz w:val="24"/>
      <w:szCs w:val="24"/>
    </w:rPr>
  </w:style>
  <w:style w:type="numbering" w:styleId="701">
    <w:name w:val="Нет списка2"/>
    <w:next w:val="682"/>
    <w:link w:val="678"/>
    <w:uiPriority w:val="99"/>
    <w:semiHidden/>
    <w:unhideWhenUsed/>
  </w:style>
  <w:style w:type="character" w:styleId="702">
    <w:name w:val="Номер страницы"/>
    <w:next w:val="702"/>
    <w:link w:val="678"/>
  </w:style>
  <w:style w:type="character" w:styleId="5215" w:default="1">
    <w:name w:val="Default Paragraph Font"/>
    <w:uiPriority w:val="1"/>
    <w:semiHidden/>
    <w:unhideWhenUsed/>
  </w:style>
  <w:style w:type="numbering" w:styleId="5216" w:default="1">
    <w:name w:val="No List"/>
    <w:uiPriority w:val="99"/>
    <w:semiHidden/>
    <w:unhideWhenUsed/>
  </w:style>
  <w:style w:type="table" w:styleId="52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revision>3</cp:revision>
  <dcterms:created xsi:type="dcterms:W3CDTF">2024-07-09T12:31:00Z</dcterms:created>
  <dcterms:modified xsi:type="dcterms:W3CDTF">2024-07-15T07:09:57Z</dcterms:modified>
  <cp:version>1048576</cp:version>
</cp:coreProperties>
</file>