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ind w:firstLine="10660"/>
        <w:jc w:val="both"/>
      </w:pPr>
      <w:r>
        <w:rPr>
          <w:sz w:val="28"/>
          <w:szCs w:val="28"/>
        </w:rPr>
        <w:t xml:space="preserve">П</w:t>
      </w:r>
      <w:r/>
    </w:p>
    <w:p>
      <w:pPr>
        <w:ind w:firstLine="1066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 </w:t>
      </w:r>
      <w:r/>
    </w:p>
    <w:p>
      <w:pPr>
        <w:ind w:right="5103"/>
        <w:tabs>
          <w:tab w:val="left" w:pos="4535" w:leader="none"/>
        </w:tabs>
        <w:rPr>
          <w:sz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</w:rPr>
        <w:t xml:space="preserve">"Профилактика правонарушений и терроризма в городе Нижневартовске"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color w:val="000000" w:themeColor="text1"/>
          <w:sz w:val="28"/>
          <w:szCs w:val="28"/>
        </w:rPr>
        <w:t xml:space="preserve">о статьей 179 Бюджетного кодекса Российской Федерации, </w:t>
      </w:r>
      <w:r>
        <w:rPr>
          <w:color w:val="000000" w:themeColor="text1"/>
          <w:sz w:val="28"/>
          <w:szCs w:val="28"/>
        </w:rPr>
        <w:t xml:space="preserve">постановлением администрации города от 17.04.2024 №310 "О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порядке разработки и реализации муниципальных программ города Нижневартовска", решением </w:t>
      </w:r>
      <w:r>
        <w:rPr>
          <w:color w:val="000000" w:themeColor="text1"/>
          <w:sz w:val="28"/>
          <w:szCs w:val="28"/>
        </w:rPr>
        <w:t xml:space="preserve">Думы</w:t>
      </w:r>
      <w:r>
        <w:rPr>
          <w:sz w:val="28"/>
          <w:szCs w:val="28"/>
        </w:rPr>
        <w:t xml:space="preserve"> города от __.__.2024 </w:t>
      </w:r>
      <w:r>
        <w:rPr>
          <w:color w:val="000000" w:themeColor="text1"/>
          <w:sz w:val="28"/>
          <w:szCs w:val="28"/>
        </w:rPr>
        <w:t xml:space="preserve">№___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 xml:space="preserve">одобрении муниципальной программы "Профилактика правонарушений и терроризма в горо</w:t>
      </w:r>
      <w:r>
        <w:rPr>
          <w:color w:val="000000" w:themeColor="text1"/>
          <w:sz w:val="28"/>
          <w:szCs w:val="28"/>
        </w:rPr>
        <w:t xml:space="preserve">де Нижневартовске", учитывая итоговый протокол обществе</w:t>
      </w:r>
      <w:r>
        <w:rPr>
          <w:sz w:val="28"/>
          <w:szCs w:val="28"/>
        </w:rPr>
        <w:t xml:space="preserve">нного обсуждения проекта постановления администрации города Нижневартовска "Об утверждении муниципальной программы "Профилактика правонарушений и терроризма в городе Нижневартовске" от __.__.2024 №___:</w:t>
      </w:r>
      <w:r/>
    </w:p>
    <w:p>
      <w:pPr>
        <w:ind w:firstLine="708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</w:t>
      </w:r>
      <w:r>
        <w:rPr>
          <w:color w:val="000000"/>
          <w:sz w:val="28"/>
          <w:szCs w:val="28"/>
        </w:rPr>
        <w:t xml:space="preserve">"Профилактика правонарушений и терроризма в городе Нижневартовске" согласно приложению. 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Пр</w:t>
      </w:r>
      <w:r>
        <w:rPr>
          <w:sz w:val="28"/>
          <w:szCs w:val="28"/>
          <w:highlight w:val="none"/>
        </w:rPr>
        <w:t xml:space="preserve">екратить с 01.01.2025 реализацию  муниципальной программы </w:t>
      </w:r>
      <w:r>
        <w:rPr>
          <w:color w:val="000000" w:themeColor="text1"/>
          <w:sz w:val="28"/>
          <w:szCs w:val="28"/>
        </w:rPr>
        <w:t xml:space="preserve">"</w:t>
      </w:r>
      <w:r>
        <w:rPr>
          <w:sz w:val="28"/>
          <w:szCs w:val="28"/>
        </w:rPr>
        <w:t xml:space="preserve">Профилактика правонарушений и терроризма в городе Нижневартовске</w:t>
      </w:r>
      <w:r>
        <w:rPr>
          <w:color w:val="000000" w:themeColor="text1"/>
          <w:sz w:val="28"/>
          <w:szCs w:val="28"/>
        </w:rPr>
        <w:t xml:space="preserve">", утвержденной постановлением администрации города от 23.09.2022 №673.</w:t>
      </w:r>
      <w:r>
        <w:rPr>
          <w:sz w:val="28"/>
          <w:szCs w:val="28"/>
          <w14:ligatures w14:val="none"/>
        </w:rPr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none"/>
        </w:rPr>
      </w:pPr>
      <w:r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 и применяется </w:t>
      </w:r>
      <w:r>
        <w:rPr>
          <w:sz w:val="28"/>
          <w:szCs w:val="28"/>
        </w:rPr>
        <w:t xml:space="preserve">к правоотношениям, возникающим при составлении </w:t>
        <w:br/>
        <w:t xml:space="preserve">и утверждении бюджета города Нижневартовска, начиная с бюджета на 2025 год и на плановый период 2026 и 2027 годов.</w:t>
      </w:r>
      <w:r>
        <w:rPr>
          <w:sz w:val="28"/>
          <w:szCs w:val="28"/>
          <w14:ligatures w14:val="none"/>
        </w:rPr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5. Контроль за выполнением постановления возложить на заместителя </w:t>
      </w:r>
      <w:r>
        <w:rPr>
          <w:color w:val="000000" w:themeColor="text1"/>
          <w:sz w:val="28"/>
          <w:szCs w:val="28"/>
        </w:rPr>
        <w:t xml:space="preserve">главы города, в ведении которого находится у</w:t>
      </w:r>
      <w:r>
        <w:rPr>
          <w:sz w:val="28"/>
          <w:szCs w:val="28"/>
        </w:rPr>
        <w:t xml:space="preserve">правление по вопросам законности, правопорядка и безопасности администрации города.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Д.А. Кощенко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540"/>
        <w:jc w:val="both"/>
        <w:rPr>
          <w:rFonts w:eastAsia="Calibri"/>
          <w:sz w:val="28"/>
          <w:szCs w:val="28"/>
          <w:lang w:eastAsia="en-US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left="10915" w:hanging="14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к постановлению</w:t>
      </w:r>
      <w:r/>
    </w:p>
    <w:p>
      <w:pPr>
        <w:ind w:left="10915" w:hanging="14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</w:t>
      </w:r>
      <w:r/>
    </w:p>
    <w:p>
      <w:pPr>
        <w:ind w:left="10915" w:hanging="142"/>
        <w:tabs>
          <w:tab w:val="left" w:pos="1077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___________ №__________</w:t>
      </w:r>
      <w:r/>
    </w:p>
    <w:p>
      <w:pPr>
        <w:ind w:hanging="14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Муниципальная программа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"Профилактика правонарушений и терроризма в городе Нижневартовске"</w:t>
      </w:r>
      <w:r>
        <w:rPr>
          <w:rFonts w:ascii="Times New Roman" w:hAnsi="Times New Roman" w:cs="Times New Roman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</w:t>
      </w:r>
      <w:r>
        <w:rPr>
          <w:rFonts w:ascii="Times New Roman" w:hAnsi="Times New Roman" w:cs="Times New Roman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"Профилактика правонарушений и терроризма в городе Нижневартовске"</w:t>
      </w:r>
      <w:r>
        <w:rPr>
          <w:rFonts w:ascii="Times New Roman" w:hAnsi="Times New Roman" w:cs="Times New Roman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 Основные положения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tbl>
      <w:tblPr>
        <w:tblW w:w="1507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43"/>
        <w:gridCol w:w="10827"/>
      </w:tblGrid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Куратор муниципальной программы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заместитель главы города, в ведении которого находится 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50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2025 - 2036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79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Цели муниципальной программы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1. Снижение уровня преступности.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2. Снижение распространенности наркомании.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spacing w:line="288" w:lineRule="atLeast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3. Создание условий для комплексной антитеррористической безопасности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spacing w:line="288" w:lineRule="atLeast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272 755</w:t>
            </w:r>
            <w:r>
              <w:rPr>
                <w:rFonts w:ascii="Times New Roman" w:hAnsi="Times New Roman" w:cs="Times New Roman"/>
                <w:highlight w:val="white"/>
              </w:rPr>
              <w:t xml:space="preserve">,98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тыс. рублей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8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осударственная програ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мма Ханты-Мансийского автономного округа - Югры "Безопасность жизнедеятельности и профилактика правонарушений"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</w:tbl>
    <w:p>
      <w:pPr>
        <w:contextualSpacing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 Показатели муниципальной программы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tbl>
      <w:tblPr>
        <w:tblW w:w="1502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698"/>
        <w:gridCol w:w="850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78"/>
      </w:tblGrid>
      <w:tr>
        <w:trPr>
          <w:trHeight w:val="34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6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contextualSpacing/>
              <w:ind w:left="-425" w:right="-407" w:firstLin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Уровень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измерения (по ОКЕИ)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Базовое значение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12"/>
            <w:tcW w:w="6803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78" w:type="dxa"/>
            <w:vMerge w:val="restart"/>
            <w:textDirection w:val="lrTb"/>
            <w:noWrap w:val="false"/>
          </w:tcPr>
          <w:p>
            <w:pPr>
              <w:contextualSpacing/>
              <w:ind w:left="-142" w:right="-187" w:firstLin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ind w:left="-142" w:right="-187" w:firstLin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за достижение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ind w:left="-142" w:right="-187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65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0" w:type="dxa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2698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значение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2029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2031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2032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2033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2034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2035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2036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3"/>
        </w:trPr>
        <w:tc>
          <w:tcPr>
            <w:gridSpan w:val="19"/>
            <w:tcMar>
              <w:left w:w="62" w:type="dxa"/>
              <w:top w:w="0" w:type="dxa"/>
              <w:right w:w="62" w:type="dxa"/>
              <w:bottom w:w="0" w:type="dxa"/>
            </w:tcMar>
            <w:tcW w:w="1502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1 "Снижение уровня преступности"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138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ГП ХМАО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1 487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1900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1875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1850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1825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1800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1775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1750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1725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1700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1675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1650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1625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gridSpan w:val="19"/>
            <w:tcMar>
              <w:left w:w="62" w:type="dxa"/>
              <w:top w:w="0" w:type="dxa"/>
              <w:right w:w="62" w:type="dxa"/>
              <w:bottom w:w="0" w:type="dxa"/>
            </w:tcMar>
            <w:tcW w:w="1502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2 "Снижение распространенности наркомании"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924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Распространенность наркомании (на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146,6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166,7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166,4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166,1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165,8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ind w:left="-138" w:right="-134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165,2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5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Число несовершеннолетних потребителей наркотиков, совершивших общеуголовные преступления, в общем количестве несовершеннолетних 14-17 лет (на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7,64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25,0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24,9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24,8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24,7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24,6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24,5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153"/>
        </w:trPr>
        <w:tc>
          <w:tcPr>
            <w:gridSpan w:val="19"/>
            <w:tcMar>
              <w:left w:w="62" w:type="dxa"/>
              <w:top w:w="0" w:type="dxa"/>
              <w:right w:w="62" w:type="dxa"/>
              <w:bottom w:w="0" w:type="dxa"/>
            </w:tcMar>
            <w:tcW w:w="1502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3 "Создание условий для комплексной антитеррористической безопасности"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269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Доля граждан, положительно оценивающих деятельность муниципального образования по профилактике терроризма на территории города (по результатам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социологического исследования)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75,5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</w:tbl>
    <w:p>
      <w:pPr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 План достижения показателей муниципальной программы в 2025 году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tbl>
      <w:tblPr>
        <w:tblW w:w="1504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7148"/>
        <w:gridCol w:w="1276"/>
        <w:gridCol w:w="1134"/>
        <w:gridCol w:w="1276"/>
        <w:gridCol w:w="1276"/>
        <w:gridCol w:w="1134"/>
        <w:gridCol w:w="1213"/>
      </w:tblGrid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71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Уровень показателя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измерения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4"/>
            <w:tcW w:w="48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Плановые значения показателя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44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</w:r>
            <w:r/>
          </w:p>
        </w:tc>
        <w:tc>
          <w:tcPr>
            <w:tcW w:w="71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b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b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b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 квартал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первое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полугодие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9 месяцев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53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504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1 "Снижение уровня преступности"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714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ГП ХМАО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480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950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1425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1 900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52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504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2 "Снижение распространенности наркомании"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18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714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Распространенность наркомании (на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167,0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166,9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166,8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shd w:val="clear" w:color="ffffff" w:themeColor="background1" w:fill="ffffff" w:themeFill="background1"/>
              </w:rPr>
              <w:t xml:space="preserve">166,7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714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Число несовершеннолетних потребителей наркотиков, совершивших общеуголовные преступления, в общем количестве несовершеннолетних 14-17 лет (на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25,0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50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3 "Создание условий для комплексной антитеррористической безопасности"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714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Доля граждан, положительно оценивающих деятельность муниципального образования по профилактике терроризма на территории города (по результатам социологического исследования)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1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</w:tr>
    </w:tbl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 Структура муниципальной программы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tbl>
      <w:tblPr>
        <w:tblW w:w="1517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6803"/>
        <w:gridCol w:w="3656"/>
      </w:tblGrid>
      <w:tr>
        <w:trPr>
          <w:trHeight w:val="229"/>
        </w:trPr>
        <w:tc>
          <w:tcPr>
            <w:tcW w:w="742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  <w:t xml:space="preserve">Краткое описание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27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W w:w="1442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"Профилактика правонарушений"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74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 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74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2025 - 2036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74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Участники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экономического развития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учреждения в сфере образования;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общественных коммуникаций и молодежной политики администрации города; муниципальное автономное учреждение города Нижневартовска "Молодежный центр";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жилищно-коммунального хозяйства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муниципальное казенное учреждение города Нижневартовска "Управление по делам гражданской обороны и чрезвычайным ситуациям"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19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Предупреждение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формирование населения о наиболее распространенных видах правонарушений и преступлений и способах защиты от них;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правовое просвещение и информирование в сфере защиты прав потребителей, формирование у населения навыков рационального потреб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ительского поведения, профилактика нарушений в сфере защиты прав потребителей;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jc w:val="both"/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нформационно-пропагандист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ское сопровождение, правовое просвещение, методическое обеспечение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¸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рганизация 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мероприятий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 по профилактике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правонарушений среди несовершеннолетних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рганизация 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мероприятий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направленных на профилактику нарушений правил дорожного движения, 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предупреждение причин возникновения дор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ожно-транспортных происшествий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vMerge w:val="restart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283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оздание условий для деятельности народных дружин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rFonts w:ascii="Times New Roman" w:hAnsi="Times New Roman" w:cs="Times New Roman"/>
                <w:strike w:val="0"/>
                <w:color w:val="000000"/>
                <w:sz w:val="22"/>
                <w:szCs w:val="22"/>
                <w:highlight w:val="white"/>
              </w:rPr>
              <w:t xml:space="preserve">осуществление материального стимулирования деятельности народных дружинников;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/>
                <w:sz w:val="22"/>
                <w:szCs w:val="22"/>
                <w:highlight w:val="white"/>
              </w:rPr>
              <w:t xml:space="preserve">обеспечение личного страхования народных дружинников на период их участия в мероприятиях по охране общественного порядка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867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1.3.</w:t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Обеспечение функционирования и развития систем видеонаблюдения в сфере охраны общественного порядка на территории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88" w:lineRule="atLeast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развитие,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 модернизация аппаратно-программного комплекса "Безопасный город"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42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W w:w="1442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Комплекс процессных мероприятий "Профилактика незаконного потребления наркотических средств, психотропных веществ"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9"/>
        </w:trPr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2025 - 2036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Участники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vMerge w:val="restart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по социальной политике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учреждения в сфере культуры;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муниципальное автономное учреждение города Нижневартовска "Дирекция спортивных сооружений";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общественных коммуникаций и молодежной политики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муниципальное автономное учреждение города Нижневартовска "Молодежный центр";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учреждения в сфере образования;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города;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еализация профилактического комплекса мер в антинаркотической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проведения антинаркотических профилактических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для детей и молодежи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приобретение и внедрение профилактических, диагностических программ по работе с семьей, детьми и подростками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проведение развивающих занятий по формированию навыков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ассертивного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(уверенного) поведения;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проведения семинаров, мастер-классов, конференций для педагогической общественности по вопросам профилактики наркомании;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проведение конкурса проектов (программ) в сфере профилактики незаконного потребления 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котических средств, психот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ропных вещ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еств, антинаркотической пропаганды;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правовое просвещение и информирование населения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мероприятий по созданию условий для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разработки социальной рекламы, направленной на профилактику незаконного потребления наркотических средств, психотропных веществ, антинаркотическую пропаганду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  <w:tc>
          <w:tcPr>
            <w:tcW w:w="3656" w:type="dxa"/>
            <w:vMerge w:val="restart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распространенность наркомании (на 100 тыс. населения);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число несовершеннолетних потребителей наркотиков, совершивших общеуголовные преступления, в общем количестве несовершеннолетних 14-17 лет (на 100 тыс. человек населения)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84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W w:w="1442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Профилактика терроризма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49"/>
        </w:trPr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 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52"/>
        </w:trPr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2025 - 2036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42"/>
        </w:trPr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Участники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vMerge w:val="restart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учреждения</w:t>
            </w:r>
            <w:r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сфере образования;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общественных коммуникаций и молодежной политики администрации города; муниципальное автономное учреждение города Нижневартовска "Молодежный центр";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по социальной политике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учреждения в сфере культуры;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учреждения в сфере физической культуры и спорта;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742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Реализация комплекса мер по 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рофилактике террористической идеологии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среди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населения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организация и проведение воспитательной и просветительской работы,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правовое просвещение и информирование населения;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методическое обеспечение и подготовка муниципальных служащих и работников муниципальных учреждений по вопросам профилактики терроризма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доля граждан, положительно оцениваю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щих деятельность муниципального образования по профилактике терроризма на территории города (по результатам социологического исследован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ия)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742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Повышение уровня антитеррористической защищенности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/>
              <w:jc w:val="both"/>
              <w:spacing w:line="288" w:lineRule="atLeast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ыполнени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е требований по обеспечению антитеррористической защищенности,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об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орудование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нженерно-техническими средствами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муниципальных объектов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доля граждан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положительно оценивающих деятельность муниципального образования по профилактике терроризма на территории города (по результат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ам социологического исследования)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18"/>
        </w:trPr>
        <w:tc>
          <w:tcPr>
            <w:tcW w:w="742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W w:w="1442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"Обеспечение отдельных государственных полномочий в сфере правопорядка"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260"/>
        </w:trPr>
        <w:tc>
          <w:tcPr>
            <w:tcW w:w="74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130"/>
        </w:trPr>
        <w:tc>
          <w:tcPr>
            <w:tcW w:w="74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textDirection w:val="lrTb"/>
            <w:noWrap w:val="false"/>
          </w:tcPr>
          <w:p>
            <w:pPr>
              <w:contextualSpacing/>
              <w:jc w:val="both"/>
              <w:spacing w:line="288" w:lineRule="atLeast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2025 - 20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536"/>
        </w:trPr>
        <w:tc>
          <w:tcPr>
            <w:tcW w:w="74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Участники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W w:w="10459" w:type="dxa"/>
            <w:textDirection w:val="lrTb"/>
            <w:noWrap w:val="false"/>
          </w:tcPr>
          <w:p>
            <w:pPr>
              <w:contextualSpacing/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685"/>
        </w:trPr>
        <w:tc>
          <w:tcPr>
            <w:tcW w:w="742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осуществления функций и полномочий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административной комисс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ии города Нижневартовска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/>
              <w:spacing w:before="240" w:after="240"/>
              <w:rPr>
                <w:rFonts w:ascii="Times New Roman" w:hAnsi="Times New Roman" w:cs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административной комиссии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365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</w:tr>
    </w:tbl>
    <w:p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 Финансовое обеспечение муниципальной программы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tbl>
      <w:tblPr>
        <w:tblW w:w="1534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436"/>
        <w:gridCol w:w="1276"/>
        <w:gridCol w:w="850"/>
        <w:gridCol w:w="851"/>
        <w:gridCol w:w="850"/>
        <w:gridCol w:w="850"/>
        <w:gridCol w:w="850"/>
        <w:gridCol w:w="850"/>
        <w:gridCol w:w="850"/>
        <w:gridCol w:w="852"/>
        <w:gridCol w:w="850"/>
        <w:gridCol w:w="850"/>
        <w:gridCol w:w="850"/>
        <w:gridCol w:w="850"/>
        <w:gridCol w:w="992"/>
      </w:tblGrid>
      <w:tr>
        <w:trPr>
          <w:trHeight w:val="495"/>
        </w:trPr>
        <w:tc>
          <w:tcPr>
            <w:tcW w:w="432" w:type="dxa"/>
            <w:vMerge w:val="restart"/>
            <w:textDirection w:val="lrTb"/>
            <w:noWrap w:val="false"/>
          </w:tcPr>
          <w:p>
            <w:pPr>
              <w:contextualSpacing/>
              <w:ind w:left="-224" w:right="-10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ind w:left="-224" w:right="-10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структурного элемента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Источник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финансового обеспечения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13"/>
            <w:tcW w:w="11197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Объем финансового обеспечения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(тыс. рублей)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65"/>
        </w:trPr>
        <w:tc>
          <w:tcPr>
            <w:tcW w:w="432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2028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2029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  <w:lang w:val="en-US"/>
              </w:rPr>
              <w:t xml:space="preserve">2030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white"/>
                <w:lang w:val="en-US"/>
              </w:rPr>
              <w:t xml:space="preserve">2031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2032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tabs>
                <w:tab w:val="left" w:pos="3543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2033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tabs>
                <w:tab w:val="left" w:pos="3543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2034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2035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  <w:t xml:space="preserve">2036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74"/>
        </w:trPr>
        <w:tc>
          <w:tcPr>
            <w:gridSpan w:val="2"/>
            <w:tcW w:w="286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Муниципальная программа (всего)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22 117,09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22 117,09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22 852,18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272 755</w:t>
            </w:r>
            <w:bookmarkStart w:id="0" w:name="undefined"/>
            <w:r>
              <w:rPr>
                <w:rFonts w:ascii="Times New Roman" w:hAnsi="Times New Roman" w:cs="Times New Roman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,98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32"/>
        </w:trPr>
        <w:tc>
          <w:tcPr>
            <w:gridSpan w:val="2"/>
            <w:tcW w:w="286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13 448,30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13 448,30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14 107,70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167 973,60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21"/>
        </w:trPr>
        <w:tc>
          <w:tcPr>
            <w:gridSpan w:val="2"/>
            <w:tcW w:w="286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8 668,79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8 668,79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8 744,48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104 782,38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25"/>
        </w:trPr>
        <w:tc>
          <w:tcPr>
            <w:gridSpan w:val="3"/>
            <w:tcW w:w="4144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Объем налоговых расходов (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справочно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/>
        <w:tc>
          <w:tcPr>
            <w:tcW w:w="43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Комплекс процессных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t xml:space="preserve">й "Профилактика правонарушений"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4 838,39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4 838,39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5 652,48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66 201,58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432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511,40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511,40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1 170,80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12 730,80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70"/>
        </w:trPr>
        <w:tc>
          <w:tcPr>
            <w:tcW w:w="432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4 326,99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4 326,99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4 481,68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53 470,78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16"/>
        </w:trPr>
        <w:tc>
          <w:tcPr>
            <w:tcW w:w="43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Комплекс процессных мероприятий "Профилактика незаконного потребления наркотических средств, психотропных веществ"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2 400,00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28 800,00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08"/>
        </w:trPr>
        <w:tc>
          <w:tcPr>
            <w:tcW w:w="43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Комплекс процессных мероприятий "Профилактика терроризма"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1 941,80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1 941,80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1 862,80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22 511,60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43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Комплекс процессных мероприятий "Обеспечение отдельных государственных полномочий в сфере правопорядка"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74" w:right="-216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500" w:firstLine="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99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499" w:hanging="49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500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00" w:right="-50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contextualSpacing/>
              <w:ind w:left="-567" w:right="-49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0" w:right="-641" w:hanging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67" w:right="-499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425" w:right="-358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12 936,90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left="-425" w:right="-363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155 242,80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</w:tbl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sectPr>
      <w:footnotePr/>
      <w:endnotePr/>
      <w:type w:val="nextPage"/>
      <w:pgSz w:w="16838" w:h="11906" w:orient="landscape"/>
      <w:pgMar w:top="1134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9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/>
  </w:p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">
    <w:multiLevelType w:val="hybridMultilevel"/>
    <w:lvl w:ilvl="0">
      <w:start w:val="17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85">
    <w:name w:val="Heading 1"/>
    <w:basedOn w:val="684"/>
    <w:next w:val="684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0">
    <w:name w:val="Heading 6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4"/>
    <w:uiPriority w:val="10"/>
    <w:rPr>
      <w:sz w:val="48"/>
      <w:szCs w:val="48"/>
    </w:rPr>
  </w:style>
  <w:style w:type="character" w:styleId="707" w:customStyle="1">
    <w:name w:val="Subtitle Char"/>
    <w:basedOn w:val="694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link w:val="685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link w:val="686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link w:val="687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84"/>
    <w:uiPriority w:val="34"/>
    <w:qFormat/>
    <w:pPr>
      <w:contextualSpacing/>
      <w:ind w:left="720"/>
    </w:pPr>
  </w:style>
  <w:style w:type="paragraph" w:styleId="722">
    <w:name w:val="No Spacing"/>
    <w:uiPriority w:val="1"/>
    <w:qFormat/>
  </w:style>
  <w:style w:type="paragraph" w:styleId="723">
    <w:name w:val="Title"/>
    <w:basedOn w:val="684"/>
    <w:next w:val="684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84"/>
    <w:next w:val="684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84"/>
    <w:next w:val="68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4"/>
    <w:next w:val="68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4"/>
    <w:link w:val="88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2" w:customStyle="1">
    <w:name w:val="Header Char"/>
    <w:uiPriority w:val="99"/>
  </w:style>
  <w:style w:type="paragraph" w:styleId="733">
    <w:name w:val="Footer"/>
    <w:basedOn w:val="684"/>
    <w:link w:val="889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/>
    </w:rPr>
  </w:style>
  <w:style w:type="character" w:styleId="734" w:customStyle="1">
    <w:name w:val="Footer Char"/>
    <w:uiPriority w:val="99"/>
  </w:style>
  <w:style w:type="paragraph" w:styleId="735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>
    <w:name w:val="Table Grid"/>
    <w:basedOn w:val="695"/>
    <w:uiPriority w:val="39"/>
    <w:rPr>
      <w:sz w:val="22"/>
      <w:szCs w:val="22"/>
      <w:lang w:eastAsia="en-US"/>
    </w:rPr>
    <w:tblPr/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/>
      <w:u w:val="single"/>
    </w:rPr>
  </w:style>
  <w:style w:type="paragraph" w:styleId="864">
    <w:name w:val="footnote text"/>
    <w:basedOn w:val="684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84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84"/>
    <w:next w:val="684"/>
    <w:uiPriority w:val="39"/>
    <w:unhideWhenUsed/>
    <w:pPr>
      <w:spacing w:after="57"/>
    </w:pPr>
  </w:style>
  <w:style w:type="paragraph" w:styleId="871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72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73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74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75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6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7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8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84"/>
    <w:next w:val="684"/>
    <w:uiPriority w:val="99"/>
    <w:unhideWhenUsed/>
  </w:style>
  <w:style w:type="character" w:styleId="881" w:customStyle="1">
    <w:name w:val="Верхний колонтитул Знак"/>
    <w:link w:val="731"/>
    <w:uiPriority w:val="99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882">
    <w:name w:val="page number"/>
    <w:basedOn w:val="694"/>
  </w:style>
  <w:style w:type="paragraph" w:styleId="883" w:customStyle="1">
    <w:name w:val="ConsPlusNormal"/>
    <w:link w:val="884"/>
    <w:qFormat/>
    <w:pPr>
      <w:widowControl w:val="off"/>
    </w:pPr>
    <w:rPr>
      <w:rFonts w:eastAsia="Times New Roman" w:cs="Calibri"/>
      <w:lang w:eastAsia="ru-RU"/>
    </w:rPr>
  </w:style>
  <w:style w:type="character" w:styleId="884" w:customStyle="1">
    <w:name w:val="ConsPlusNormal Знак"/>
    <w:link w:val="883"/>
    <w:rPr>
      <w:rFonts w:eastAsia="Times New Roman" w:cs="Calibri"/>
      <w:lang w:eastAsia="ru-RU" w:bidi="ar-SA"/>
    </w:rPr>
  </w:style>
  <w:style w:type="paragraph" w:styleId="885">
    <w:name w:val="Balloon Text"/>
    <w:basedOn w:val="684"/>
    <w:link w:val="886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86" w:customStyle="1">
    <w:name w:val="Текст выноски Знак"/>
    <w:link w:val="88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7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88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889" w:customStyle="1">
    <w:name w:val="Нижний колонтитул Знак"/>
    <w:link w:val="73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 w:customStyle="1">
    <w:name w:val="Основной текст_"/>
    <w:link w:val="891"/>
    <w:rPr>
      <w:rFonts w:ascii="Times New Roman" w:hAnsi="Times New Roman" w:eastAsia="Times New Roman"/>
      <w:sz w:val="28"/>
      <w:szCs w:val="28"/>
    </w:rPr>
  </w:style>
  <w:style w:type="paragraph" w:styleId="891" w:customStyle="1">
    <w:name w:val="Основной текст1"/>
    <w:basedOn w:val="684"/>
    <w:link w:val="890"/>
    <w:pPr>
      <w:ind w:firstLine="400"/>
      <w:widowControl w:val="off"/>
    </w:pPr>
    <w:rPr>
      <w:sz w:val="28"/>
      <w:szCs w:val="28"/>
      <w:lang w:val="en-US" w:eastAsia="en-US"/>
    </w:rPr>
  </w:style>
  <w:style w:type="character" w:styleId="892" w:customStyle="1">
    <w:name w:val="Сноска_"/>
    <w:link w:val="893"/>
    <w:rPr>
      <w:rFonts w:ascii="Times New Roman" w:hAnsi="Times New Roman" w:eastAsia="Times New Roman"/>
      <w:sz w:val="15"/>
      <w:szCs w:val="15"/>
    </w:rPr>
  </w:style>
  <w:style w:type="paragraph" w:styleId="893" w:customStyle="1">
    <w:name w:val="Сноска"/>
    <w:basedOn w:val="684"/>
    <w:link w:val="892"/>
    <w:pPr>
      <w:spacing w:line="254" w:lineRule="auto"/>
      <w:widowControl w:val="off"/>
    </w:pPr>
    <w:rPr>
      <w:sz w:val="15"/>
      <w:szCs w:val="15"/>
    </w:rPr>
  </w:style>
  <w:style w:type="paragraph" w:styleId="894">
    <w:name w:val="HTML Preformatted"/>
    <w:basedOn w:val="684"/>
    <w:link w:val="895"/>
    <w:uiPriority w:val="99"/>
    <w:unhideWhenUsed/>
    <w:pPr>
      <w:spacing w:after="160" w:line="259" w:lineRule="auto"/>
    </w:pPr>
    <w:rPr>
      <w:rFonts w:ascii="Courier New" w:hAnsi="Courier New" w:eastAsia="Calibri" w:cs="Courier New"/>
      <w:sz w:val="20"/>
      <w:szCs w:val="20"/>
      <w:lang w:eastAsia="en-US"/>
    </w:rPr>
  </w:style>
  <w:style w:type="character" w:styleId="895" w:customStyle="1">
    <w:name w:val="Стандартный HTML Знак"/>
    <w:basedOn w:val="694"/>
    <w:link w:val="894"/>
    <w:uiPriority w:val="99"/>
    <w:rPr>
      <w:rFonts w:ascii="Courier New" w:hAnsi="Courier New" w:cs="Courier New"/>
      <w:lang w:eastAsia="en-US"/>
    </w:rPr>
  </w:style>
  <w:style w:type="paragraph" w:styleId="896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/>
    </w:rPr>
  </w:style>
  <w:style w:type="paragraph" w:styleId="897" w:customStyle="1">
    <w:name w:val="Body Text Indent"/>
    <w:pPr>
      <w:contextualSpacing w:val="0"/>
      <w:ind w:left="1080" w:right="0" w:hanging="371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revision>20</cp:revision>
  <dcterms:created xsi:type="dcterms:W3CDTF">2024-05-17T07:12:00Z</dcterms:created>
  <dcterms:modified xsi:type="dcterms:W3CDTF">2024-06-05T11:02:22Z</dcterms:modified>
  <cp:version>1048576</cp:version>
</cp:coreProperties>
</file>