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C3F49" w:rsidRDefault="00F97A7F" w:rsidP="00AA6128">
      <w:pPr>
        <w:ind w:firstLine="0"/>
        <w:jc w:val="center"/>
        <w:rPr>
          <w:sz w:val="28"/>
          <w:szCs w:val="28"/>
        </w:rPr>
      </w:pPr>
      <w:r w:rsidRPr="005C3F49">
        <w:rPr>
          <w:sz w:val="28"/>
          <w:szCs w:val="28"/>
        </w:rPr>
        <w:t>П</w:t>
      </w:r>
      <w:r w:rsidR="00446D6C" w:rsidRPr="005C3F49">
        <w:rPr>
          <w:sz w:val="28"/>
          <w:szCs w:val="28"/>
        </w:rPr>
        <w:t>ротокол</w:t>
      </w:r>
    </w:p>
    <w:p w:rsidR="00AF1D53" w:rsidRPr="005C3F49" w:rsidRDefault="00AF1D53" w:rsidP="00AA6128">
      <w:pPr>
        <w:ind w:firstLine="0"/>
        <w:jc w:val="center"/>
        <w:rPr>
          <w:sz w:val="28"/>
          <w:szCs w:val="28"/>
        </w:rPr>
      </w:pPr>
      <w:r w:rsidRPr="005C3F49">
        <w:rPr>
          <w:sz w:val="28"/>
          <w:szCs w:val="28"/>
        </w:rPr>
        <w:t>заседания Общественного совета при департаменте финансов</w:t>
      </w:r>
    </w:p>
    <w:p w:rsidR="00AF1D53" w:rsidRPr="005C3F49" w:rsidRDefault="00AF1D53" w:rsidP="00AA6128">
      <w:pPr>
        <w:ind w:firstLine="0"/>
        <w:jc w:val="center"/>
        <w:rPr>
          <w:sz w:val="28"/>
          <w:szCs w:val="28"/>
        </w:rPr>
      </w:pPr>
      <w:r w:rsidRPr="005C3F49">
        <w:rPr>
          <w:sz w:val="28"/>
          <w:szCs w:val="28"/>
        </w:rPr>
        <w:t>администрации города Нижневартовска</w:t>
      </w:r>
    </w:p>
    <w:p w:rsidR="00AF1D53" w:rsidRPr="005C3F49" w:rsidRDefault="00AF1D53" w:rsidP="00AF1D53">
      <w:pPr>
        <w:jc w:val="center"/>
        <w:rPr>
          <w:sz w:val="22"/>
          <w:szCs w:val="24"/>
        </w:rPr>
      </w:pPr>
    </w:p>
    <w:p w:rsidR="00577812" w:rsidRPr="005C3F49" w:rsidRDefault="00577812" w:rsidP="00577812">
      <w:pPr>
        <w:ind w:firstLine="0"/>
        <w:jc w:val="center"/>
        <w:rPr>
          <w:sz w:val="22"/>
          <w:szCs w:val="16"/>
        </w:rPr>
      </w:pPr>
      <w:r w:rsidRPr="005C3F49">
        <w:rPr>
          <w:sz w:val="22"/>
          <w:szCs w:val="16"/>
        </w:rPr>
        <w:t>г. Нижневартовск, ул. Маршала Жукова, 38а</w:t>
      </w:r>
    </w:p>
    <w:p w:rsidR="00F97A7F" w:rsidRPr="005C3F49" w:rsidRDefault="00F97A7F" w:rsidP="00AF1D53">
      <w:pPr>
        <w:jc w:val="center"/>
        <w:rPr>
          <w:sz w:val="22"/>
          <w:szCs w:val="24"/>
        </w:rPr>
      </w:pPr>
    </w:p>
    <w:p w:rsidR="00F97A7F" w:rsidRPr="005C3F49" w:rsidRDefault="007142CB" w:rsidP="00F97A7F">
      <w:pPr>
        <w:ind w:firstLine="0"/>
        <w:rPr>
          <w:sz w:val="28"/>
          <w:szCs w:val="28"/>
        </w:rPr>
      </w:pPr>
      <w:r w:rsidRPr="005C3F49">
        <w:rPr>
          <w:sz w:val="28"/>
          <w:szCs w:val="28"/>
        </w:rPr>
        <w:t>0</w:t>
      </w:r>
      <w:r w:rsidR="00BA1DE8" w:rsidRPr="005C3F49">
        <w:rPr>
          <w:sz w:val="28"/>
          <w:szCs w:val="28"/>
        </w:rPr>
        <w:t>9</w:t>
      </w:r>
      <w:r w:rsidR="00F97A7F" w:rsidRPr="005C3F49">
        <w:rPr>
          <w:sz w:val="28"/>
          <w:szCs w:val="28"/>
        </w:rPr>
        <w:t xml:space="preserve"> </w:t>
      </w:r>
      <w:r w:rsidR="001036E9" w:rsidRPr="005C3F49">
        <w:rPr>
          <w:sz w:val="28"/>
          <w:szCs w:val="28"/>
        </w:rPr>
        <w:t>апреля</w:t>
      </w:r>
      <w:r w:rsidR="00F97A7F" w:rsidRPr="005C3F49">
        <w:rPr>
          <w:sz w:val="28"/>
          <w:szCs w:val="28"/>
        </w:rPr>
        <w:t xml:space="preserve"> 202</w:t>
      </w:r>
      <w:r w:rsidR="009F73CE" w:rsidRPr="005C3F49">
        <w:rPr>
          <w:sz w:val="28"/>
          <w:szCs w:val="28"/>
        </w:rPr>
        <w:t>6</w:t>
      </w:r>
      <w:r w:rsidR="00F97A7F" w:rsidRPr="005C3F49">
        <w:rPr>
          <w:sz w:val="28"/>
          <w:szCs w:val="28"/>
        </w:rPr>
        <w:t xml:space="preserve"> года</w:t>
      </w:r>
      <w:r w:rsidR="006520D9" w:rsidRPr="005C3F49">
        <w:rPr>
          <w:sz w:val="28"/>
          <w:szCs w:val="28"/>
        </w:rPr>
        <w:t xml:space="preserve">    </w:t>
      </w:r>
      <w:r w:rsidR="00F97A7F" w:rsidRPr="005C3F49">
        <w:rPr>
          <w:sz w:val="28"/>
          <w:szCs w:val="28"/>
        </w:rPr>
        <w:t xml:space="preserve">                                                                                       </w:t>
      </w:r>
      <w:r w:rsidR="00235CC4" w:rsidRPr="005C3F49">
        <w:rPr>
          <w:sz w:val="28"/>
          <w:szCs w:val="28"/>
        </w:rPr>
        <w:t xml:space="preserve">    </w:t>
      </w:r>
      <w:r w:rsidR="00F97A7F" w:rsidRPr="005C3F49">
        <w:rPr>
          <w:sz w:val="28"/>
          <w:szCs w:val="28"/>
        </w:rPr>
        <w:t xml:space="preserve">  №</w:t>
      </w:r>
      <w:r w:rsidR="009F73CE" w:rsidRPr="005C3F49">
        <w:rPr>
          <w:sz w:val="28"/>
          <w:szCs w:val="28"/>
        </w:rPr>
        <w:t>7</w:t>
      </w:r>
    </w:p>
    <w:p w:rsidR="00AF1D53" w:rsidRPr="005C3F49" w:rsidRDefault="00AF1D53" w:rsidP="00AF1D53">
      <w:pPr>
        <w:jc w:val="center"/>
        <w:rPr>
          <w:sz w:val="16"/>
          <w:szCs w:val="16"/>
        </w:rPr>
      </w:pPr>
    </w:p>
    <w:p w:rsidR="009F73CE" w:rsidRPr="005C3F49" w:rsidRDefault="009F73CE" w:rsidP="009F73CE">
      <w:pPr>
        <w:spacing w:before="360" w:after="120"/>
        <w:ind w:firstLine="0"/>
        <w:rPr>
          <w:b/>
          <w:bCs/>
          <w:sz w:val="28"/>
          <w:szCs w:val="28"/>
        </w:rPr>
      </w:pPr>
      <w:r w:rsidRPr="005C3F49"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5C3F49" w:rsidRPr="005C3F49" w:rsidTr="00C84C15">
        <w:tc>
          <w:tcPr>
            <w:tcW w:w="2410" w:type="dxa"/>
          </w:tcPr>
          <w:p w:rsidR="009F73CE" w:rsidRPr="005C3F49" w:rsidRDefault="009F73CE" w:rsidP="00C84C1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C3F49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 Любовь Яковлевна</w:t>
            </w:r>
          </w:p>
        </w:tc>
        <w:tc>
          <w:tcPr>
            <w:tcW w:w="425" w:type="dxa"/>
          </w:tcPr>
          <w:p w:rsidR="009F73CE" w:rsidRPr="005C3F49" w:rsidRDefault="009F73CE" w:rsidP="00C84C1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F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9F73CE" w:rsidRPr="005C3F49" w:rsidRDefault="009F73CE" w:rsidP="00C84C1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F49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</w:tbl>
    <w:p w:rsidR="009F73CE" w:rsidRPr="00312159" w:rsidRDefault="009F73CE" w:rsidP="009F73CE">
      <w:pPr>
        <w:spacing w:before="240" w:after="120"/>
        <w:ind w:firstLine="0"/>
        <w:rPr>
          <w:b/>
          <w:bCs/>
          <w:sz w:val="28"/>
          <w:szCs w:val="28"/>
        </w:rPr>
      </w:pPr>
      <w:r w:rsidRPr="00312159">
        <w:rPr>
          <w:b/>
          <w:bCs/>
          <w:sz w:val="28"/>
          <w:szCs w:val="28"/>
        </w:rPr>
        <w:t>Присутствовали: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312159" w:rsidRPr="00312159" w:rsidTr="00C84C15">
        <w:tc>
          <w:tcPr>
            <w:tcW w:w="2410" w:type="dxa"/>
          </w:tcPr>
          <w:p w:rsidR="0045296D" w:rsidRPr="00312159" w:rsidRDefault="0045296D" w:rsidP="00C84C15">
            <w:pPr>
              <w:pStyle w:val="af"/>
              <w:rPr>
                <w:rFonts w:ascii="Times New Roman" w:hAnsi="Times New Roman" w:cs="Times New Roman"/>
                <w:sz w:val="28"/>
              </w:rPr>
            </w:pPr>
            <w:r w:rsidRPr="00312159">
              <w:rPr>
                <w:rFonts w:ascii="Times New Roman" w:hAnsi="Times New Roman" w:cs="Times New Roman"/>
                <w:sz w:val="28"/>
              </w:rPr>
              <w:t>Грицканюк Диана Александровна</w:t>
            </w:r>
          </w:p>
          <w:p w:rsidR="0045296D" w:rsidRPr="00312159" w:rsidRDefault="0045296D" w:rsidP="0045296D">
            <w:pPr>
              <w:rPr>
                <w:sz w:val="20"/>
                <w:lang w:eastAsia="ru-RU"/>
              </w:rPr>
            </w:pPr>
          </w:p>
        </w:tc>
        <w:tc>
          <w:tcPr>
            <w:tcW w:w="425" w:type="dxa"/>
          </w:tcPr>
          <w:p w:rsidR="0045296D" w:rsidRPr="00312159" w:rsidRDefault="0045296D" w:rsidP="00C84C1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45296D" w:rsidRPr="00312159" w:rsidRDefault="0045296D" w:rsidP="00C84C1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2159">
              <w:rPr>
                <w:rFonts w:ascii="Times New Roman" w:hAnsi="Times New Roman" w:cs="Times New Roman"/>
                <w:sz w:val="28"/>
                <w:szCs w:val="28"/>
              </w:rPr>
              <w:t>житель города Нижневартовска, ведущий бухгалтер б</w:t>
            </w:r>
            <w:r w:rsidRPr="003121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юджетного учреждения Ханты-Мансийского автономного округа – Югры "Нижневартовская о</w:t>
            </w:r>
            <w:bookmarkStart w:id="0" w:name="_GoBack"/>
            <w:bookmarkEnd w:id="0"/>
            <w:r w:rsidRPr="003121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кружная клиническая больница"</w:t>
            </w:r>
          </w:p>
          <w:p w:rsidR="0045296D" w:rsidRPr="00312159" w:rsidRDefault="0045296D" w:rsidP="0045296D">
            <w:pPr>
              <w:rPr>
                <w:sz w:val="20"/>
                <w:lang w:eastAsia="ru-RU"/>
              </w:rPr>
            </w:pPr>
          </w:p>
        </w:tc>
      </w:tr>
      <w:tr w:rsidR="00312159" w:rsidRPr="00312159" w:rsidTr="00C84C15">
        <w:tc>
          <w:tcPr>
            <w:tcW w:w="2410" w:type="dxa"/>
          </w:tcPr>
          <w:p w:rsidR="009F73CE" w:rsidRPr="00312159" w:rsidRDefault="009F73CE" w:rsidP="00C84C15">
            <w:pPr>
              <w:pStyle w:val="a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eastAsia="Calibri" w:hAnsi="Times New Roman" w:cs="Times New Roman"/>
                <w:sz w:val="28"/>
                <w:szCs w:val="28"/>
              </w:rPr>
              <w:t>Логинова Тамара Изосимовна</w:t>
            </w:r>
          </w:p>
          <w:p w:rsidR="009F73CE" w:rsidRPr="00312159" w:rsidRDefault="009F73CE" w:rsidP="00C84C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F73CE" w:rsidRPr="00312159" w:rsidRDefault="009F73CE" w:rsidP="00C84C1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9F73CE" w:rsidRPr="00312159" w:rsidRDefault="009F73CE" w:rsidP="00C84C1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312159" w:rsidRPr="00312159" w:rsidTr="00C84C15">
        <w:tc>
          <w:tcPr>
            <w:tcW w:w="2410" w:type="dxa"/>
          </w:tcPr>
          <w:p w:rsidR="009F73CE" w:rsidRPr="00312159" w:rsidRDefault="009F73CE" w:rsidP="00C84C15">
            <w:pPr>
              <w:ind w:firstLine="0"/>
              <w:rPr>
                <w:sz w:val="28"/>
                <w:szCs w:val="24"/>
              </w:rPr>
            </w:pPr>
            <w:r w:rsidRPr="00312159">
              <w:rPr>
                <w:sz w:val="28"/>
                <w:szCs w:val="24"/>
              </w:rPr>
              <w:t>Мединцева Ирина Николаевна</w:t>
            </w:r>
          </w:p>
        </w:tc>
        <w:tc>
          <w:tcPr>
            <w:tcW w:w="425" w:type="dxa"/>
          </w:tcPr>
          <w:p w:rsidR="009F73CE" w:rsidRPr="00312159" w:rsidRDefault="009F73CE" w:rsidP="00C84C15">
            <w:pPr>
              <w:ind w:firstLine="0"/>
              <w:jc w:val="center"/>
              <w:rPr>
                <w:sz w:val="28"/>
                <w:szCs w:val="24"/>
              </w:rPr>
            </w:pPr>
            <w:r w:rsidRPr="00312159">
              <w:rPr>
                <w:sz w:val="28"/>
                <w:szCs w:val="24"/>
              </w:rPr>
              <w:t>-</w:t>
            </w:r>
          </w:p>
        </w:tc>
        <w:tc>
          <w:tcPr>
            <w:tcW w:w="6804" w:type="dxa"/>
          </w:tcPr>
          <w:p w:rsidR="009F73CE" w:rsidRPr="00312159" w:rsidRDefault="009F73CE" w:rsidP="00C84C15">
            <w:pPr>
              <w:ind w:firstLine="0"/>
              <w:rPr>
                <w:sz w:val="28"/>
                <w:szCs w:val="28"/>
              </w:rPr>
            </w:pPr>
            <w:r w:rsidRPr="00312159">
              <w:rPr>
                <w:sz w:val="28"/>
                <w:szCs w:val="28"/>
              </w:rPr>
              <w:t>житель города Нижневартовска, главный бухгалтер акционерного общества "ЦЕНТРОФОРС"</w:t>
            </w:r>
          </w:p>
          <w:p w:rsidR="009F73CE" w:rsidRPr="00312159" w:rsidRDefault="009F73CE" w:rsidP="00C84C15">
            <w:pPr>
              <w:ind w:firstLine="0"/>
              <w:rPr>
                <w:sz w:val="20"/>
                <w:szCs w:val="16"/>
              </w:rPr>
            </w:pPr>
          </w:p>
        </w:tc>
      </w:tr>
      <w:tr w:rsidR="00312159" w:rsidRPr="00312159" w:rsidTr="00C84C15">
        <w:tc>
          <w:tcPr>
            <w:tcW w:w="2410" w:type="dxa"/>
          </w:tcPr>
          <w:p w:rsidR="009F73CE" w:rsidRPr="00312159" w:rsidRDefault="009F73CE" w:rsidP="00C84C15">
            <w:pPr>
              <w:pStyle w:val="a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 Александр Васильевич</w:t>
            </w:r>
          </w:p>
          <w:p w:rsidR="009F73CE" w:rsidRPr="00312159" w:rsidRDefault="009F73CE" w:rsidP="00C84C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F73CE" w:rsidRPr="00312159" w:rsidRDefault="009F73CE" w:rsidP="00C84C1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9F73CE" w:rsidRPr="00312159" w:rsidRDefault="009F73CE" w:rsidP="00C84C1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собственников жилья "Ладья"</w:t>
            </w:r>
          </w:p>
          <w:p w:rsidR="009F73CE" w:rsidRPr="00312159" w:rsidRDefault="009F73CE" w:rsidP="00C84C15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59" w:rsidRPr="00312159" w:rsidTr="00C84C15">
        <w:tc>
          <w:tcPr>
            <w:tcW w:w="2410" w:type="dxa"/>
          </w:tcPr>
          <w:p w:rsidR="009F73CE" w:rsidRPr="00312159" w:rsidRDefault="009F73CE" w:rsidP="00C84C1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eastAsia="Calibri" w:hAnsi="Times New Roman" w:cs="Times New Roman"/>
                <w:sz w:val="28"/>
                <w:szCs w:val="28"/>
              </w:rPr>
              <w:t>Солосина Вера Максимовна</w:t>
            </w:r>
          </w:p>
        </w:tc>
        <w:tc>
          <w:tcPr>
            <w:tcW w:w="425" w:type="dxa"/>
          </w:tcPr>
          <w:p w:rsidR="009F73CE" w:rsidRPr="00312159" w:rsidRDefault="009F73CE" w:rsidP="00C84C1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9F73CE" w:rsidRPr="00312159" w:rsidRDefault="009F73CE" w:rsidP="00C84C1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2159">
              <w:rPr>
                <w:rFonts w:ascii="Times New Roman" w:hAnsi="Times New Roman" w:cs="Times New Roman"/>
                <w:sz w:val="28"/>
                <w:szCs w:val="28"/>
              </w:rPr>
              <w:t xml:space="preserve">житель города Нижневартовска, председатель правления Местной Нижневартовской городской общественной организации Культурно-просветительское общество белорусов "Белая Русь", заслуженный деятель культуры </w:t>
            </w:r>
            <w:r w:rsidRPr="003121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Ханты-Мансийского автономного округа – Югры</w:t>
            </w:r>
          </w:p>
          <w:p w:rsidR="009F73CE" w:rsidRPr="00312159" w:rsidRDefault="009F73CE" w:rsidP="00C84C15">
            <w:pPr>
              <w:rPr>
                <w:sz w:val="20"/>
                <w:lang w:eastAsia="ru-RU"/>
              </w:rPr>
            </w:pPr>
          </w:p>
        </w:tc>
      </w:tr>
      <w:tr w:rsidR="005C3F49" w:rsidRPr="005C3F49" w:rsidTr="00C84C15">
        <w:tc>
          <w:tcPr>
            <w:tcW w:w="2410" w:type="dxa"/>
          </w:tcPr>
          <w:p w:rsidR="009F73CE" w:rsidRPr="005C3F49" w:rsidRDefault="009F73CE" w:rsidP="00C84C15">
            <w:pPr>
              <w:pStyle w:val="a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F49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</w:tc>
        <w:tc>
          <w:tcPr>
            <w:tcW w:w="425" w:type="dxa"/>
          </w:tcPr>
          <w:p w:rsidR="009F73CE" w:rsidRPr="005C3F49" w:rsidRDefault="009F73CE" w:rsidP="00C84C1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F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9F73CE" w:rsidRPr="005C3F49" w:rsidRDefault="009F73CE" w:rsidP="00C84C1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F49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Pr="005C3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73CE" w:rsidRPr="005C3F49" w:rsidRDefault="009F73CE" w:rsidP="00C84C15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9F73CE" w:rsidRPr="005C3F49" w:rsidRDefault="009F73CE" w:rsidP="003918B0">
      <w:pPr>
        <w:spacing w:before="120"/>
        <w:rPr>
          <w:sz w:val="28"/>
          <w:szCs w:val="28"/>
        </w:rPr>
      </w:pPr>
    </w:p>
    <w:p w:rsidR="006520D9" w:rsidRPr="005C3F49" w:rsidRDefault="006520D9" w:rsidP="003918B0">
      <w:pPr>
        <w:spacing w:before="120"/>
        <w:rPr>
          <w:sz w:val="28"/>
          <w:szCs w:val="28"/>
        </w:rPr>
      </w:pPr>
      <w:r w:rsidRPr="005C3F49">
        <w:rPr>
          <w:sz w:val="28"/>
          <w:szCs w:val="28"/>
        </w:rPr>
        <w:t>В работе Общественного совета приняли участие:</w:t>
      </w:r>
    </w:p>
    <w:p w:rsidR="006520D9" w:rsidRPr="005C3F49" w:rsidRDefault="003918B0" w:rsidP="006520D9">
      <w:pPr>
        <w:rPr>
          <w:sz w:val="28"/>
          <w:szCs w:val="28"/>
        </w:rPr>
      </w:pPr>
      <w:r w:rsidRPr="005C3F49">
        <w:rPr>
          <w:sz w:val="28"/>
          <w:szCs w:val="28"/>
        </w:rPr>
        <w:t>Карелина Наталья Игоревна – директор департамента финансов администрации города Нижневартовска;</w:t>
      </w:r>
    </w:p>
    <w:p w:rsidR="00005B93" w:rsidRPr="005C3F49" w:rsidRDefault="00005B93" w:rsidP="00005B93">
      <w:pPr>
        <w:rPr>
          <w:sz w:val="28"/>
          <w:szCs w:val="28"/>
        </w:rPr>
      </w:pPr>
      <w:r w:rsidRPr="005C3F49"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1C3B0F" w:rsidRPr="005C3F49" w:rsidRDefault="001C3B0F" w:rsidP="001C3B0F">
      <w:pPr>
        <w:rPr>
          <w:sz w:val="28"/>
          <w:szCs w:val="28"/>
        </w:rPr>
      </w:pPr>
      <w:r w:rsidRPr="005C3F49">
        <w:rPr>
          <w:sz w:val="28"/>
          <w:szCs w:val="28"/>
        </w:rPr>
        <w:lastRenderedPageBreak/>
        <w:t>Попова Татьяна Николаевна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005B93" w:rsidRPr="005C3F49" w:rsidRDefault="006520D9" w:rsidP="006520D9">
      <w:pPr>
        <w:rPr>
          <w:sz w:val="28"/>
          <w:szCs w:val="28"/>
        </w:rPr>
      </w:pPr>
      <w:r w:rsidRPr="005C3F49"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 w:rsidRPr="005C3F49">
        <w:rPr>
          <w:sz w:val="28"/>
          <w:szCs w:val="28"/>
        </w:rPr>
        <w:t>;</w:t>
      </w:r>
    </w:p>
    <w:p w:rsidR="006520D9" w:rsidRPr="005C3F49" w:rsidRDefault="00005B93" w:rsidP="00005B93">
      <w:pPr>
        <w:rPr>
          <w:sz w:val="28"/>
          <w:szCs w:val="28"/>
        </w:rPr>
      </w:pPr>
      <w:r w:rsidRPr="005C3F49"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Pr="005C3F49" w:rsidRDefault="00446D6C" w:rsidP="00A320BD">
      <w:pPr>
        <w:spacing w:before="240" w:after="120"/>
        <w:rPr>
          <w:b/>
          <w:sz w:val="28"/>
          <w:szCs w:val="28"/>
        </w:rPr>
      </w:pPr>
      <w:r w:rsidRPr="005C3F49">
        <w:rPr>
          <w:b/>
          <w:sz w:val="28"/>
          <w:szCs w:val="28"/>
        </w:rPr>
        <w:t>Повестка заседания</w:t>
      </w:r>
      <w:r w:rsidR="004D0811" w:rsidRPr="005C3F49">
        <w:rPr>
          <w:b/>
          <w:sz w:val="28"/>
          <w:szCs w:val="28"/>
        </w:rPr>
        <w:t>:</w:t>
      </w:r>
    </w:p>
    <w:p w:rsidR="00C668D0" w:rsidRPr="005C3F49" w:rsidRDefault="004D0811" w:rsidP="00C668D0">
      <w:pPr>
        <w:rPr>
          <w:sz w:val="28"/>
          <w:szCs w:val="28"/>
        </w:rPr>
      </w:pPr>
      <w:r w:rsidRPr="005C3F49">
        <w:rPr>
          <w:sz w:val="28"/>
          <w:szCs w:val="28"/>
        </w:rPr>
        <w:t xml:space="preserve">1. </w:t>
      </w:r>
      <w:r w:rsidR="00C668D0" w:rsidRPr="005C3F49">
        <w:rPr>
          <w:sz w:val="28"/>
          <w:szCs w:val="28"/>
        </w:rPr>
        <w:t>О проекте решения Думы города Нижневартовска "Об исполнении бюдже</w:t>
      </w:r>
      <w:r w:rsidR="001C3B0F" w:rsidRPr="005C3F49">
        <w:rPr>
          <w:sz w:val="28"/>
          <w:szCs w:val="28"/>
        </w:rPr>
        <w:t>та города Нижневартовска за 2025</w:t>
      </w:r>
      <w:r w:rsidR="00C668D0" w:rsidRPr="005C3F49">
        <w:rPr>
          <w:sz w:val="28"/>
          <w:szCs w:val="28"/>
        </w:rPr>
        <w:t xml:space="preserve"> год".</w:t>
      </w:r>
    </w:p>
    <w:p w:rsidR="00C668D0" w:rsidRPr="005C3F49" w:rsidRDefault="00C668D0" w:rsidP="00A320BD">
      <w:pPr>
        <w:spacing w:before="240" w:after="120"/>
        <w:rPr>
          <w:b/>
          <w:sz w:val="28"/>
          <w:szCs w:val="28"/>
        </w:rPr>
      </w:pPr>
      <w:r w:rsidRPr="005C3F49">
        <w:rPr>
          <w:b/>
          <w:sz w:val="28"/>
          <w:szCs w:val="28"/>
        </w:rPr>
        <w:t>Слушали:</w:t>
      </w:r>
    </w:p>
    <w:p w:rsidR="00377DE9" w:rsidRPr="005C3F49" w:rsidRDefault="006651E9" w:rsidP="00377DE9">
      <w:pPr>
        <w:pStyle w:val="a3"/>
        <w:numPr>
          <w:ilvl w:val="0"/>
          <w:numId w:val="7"/>
        </w:numPr>
        <w:ind w:left="0" w:firstLine="709"/>
        <w:contextualSpacing w:val="0"/>
        <w:rPr>
          <w:bCs/>
          <w:sz w:val="28"/>
          <w:szCs w:val="28"/>
        </w:rPr>
      </w:pPr>
      <w:r w:rsidRPr="005C3F49">
        <w:rPr>
          <w:sz w:val="28"/>
          <w:szCs w:val="28"/>
        </w:rPr>
        <w:t>Н.И. Карелин</w:t>
      </w:r>
      <w:r w:rsidR="00A320BD" w:rsidRPr="005C3F49">
        <w:rPr>
          <w:sz w:val="28"/>
          <w:szCs w:val="28"/>
        </w:rPr>
        <w:t>у</w:t>
      </w:r>
      <w:r w:rsidR="008273E3" w:rsidRPr="005C3F49">
        <w:rPr>
          <w:sz w:val="28"/>
          <w:szCs w:val="28"/>
        </w:rPr>
        <w:t xml:space="preserve">, которая проинформировала членов Общественного совета о том, что проект решения Думы города </w:t>
      </w:r>
      <w:r w:rsidRPr="005C3F49">
        <w:rPr>
          <w:sz w:val="28"/>
          <w:szCs w:val="28"/>
        </w:rPr>
        <w:t xml:space="preserve">Нижневартовска </w:t>
      </w:r>
      <w:r w:rsidRPr="005C3F49">
        <w:rPr>
          <w:sz w:val="28"/>
          <w:szCs w:val="28"/>
        </w:rPr>
        <w:br/>
      </w:r>
      <w:r w:rsidR="008273E3" w:rsidRPr="005C3F49">
        <w:rPr>
          <w:sz w:val="28"/>
          <w:szCs w:val="28"/>
        </w:rPr>
        <w:t>"Об исполнении бюджета города Нижневартовска за 202</w:t>
      </w:r>
      <w:r w:rsidR="001C3B0F" w:rsidRPr="005C3F49">
        <w:rPr>
          <w:sz w:val="28"/>
          <w:szCs w:val="28"/>
        </w:rPr>
        <w:t>5</w:t>
      </w:r>
      <w:r w:rsidR="008273E3" w:rsidRPr="005C3F49">
        <w:rPr>
          <w:sz w:val="28"/>
          <w:szCs w:val="28"/>
        </w:rPr>
        <w:t xml:space="preserve"> год", пояснительная записка</w:t>
      </w:r>
      <w:r w:rsidR="00D01B4E" w:rsidRPr="005C3F49">
        <w:rPr>
          <w:sz w:val="28"/>
          <w:szCs w:val="28"/>
        </w:rPr>
        <w:t xml:space="preserve"> к проекту и</w:t>
      </w:r>
      <w:r w:rsidR="008273E3" w:rsidRPr="005C3F49">
        <w:rPr>
          <w:sz w:val="28"/>
          <w:szCs w:val="28"/>
        </w:rPr>
        <w:t xml:space="preserve"> </w:t>
      </w:r>
      <w:r w:rsidRPr="005C3F49">
        <w:rPr>
          <w:sz w:val="28"/>
          <w:szCs w:val="28"/>
        </w:rPr>
        <w:t>бюджет для граждан</w:t>
      </w:r>
      <w:r w:rsidR="00D01B4E" w:rsidRPr="005C3F49">
        <w:rPr>
          <w:sz w:val="28"/>
          <w:szCs w:val="28"/>
        </w:rPr>
        <w:t>, подготовленный на основании</w:t>
      </w:r>
      <w:r w:rsidRPr="005C3F49">
        <w:rPr>
          <w:sz w:val="28"/>
          <w:szCs w:val="28"/>
        </w:rPr>
        <w:t xml:space="preserve"> </w:t>
      </w:r>
      <w:r w:rsidR="00D01B4E" w:rsidRPr="005C3F49">
        <w:rPr>
          <w:sz w:val="28"/>
          <w:szCs w:val="28"/>
        </w:rPr>
        <w:t>проекта,</w:t>
      </w:r>
      <w:r w:rsidR="008273E3" w:rsidRPr="005C3F49">
        <w:rPr>
          <w:sz w:val="28"/>
          <w:szCs w:val="28"/>
        </w:rPr>
        <w:t xml:space="preserve"> </w:t>
      </w:r>
      <w:r w:rsidR="00D01B4E" w:rsidRPr="005C3F49">
        <w:rPr>
          <w:sz w:val="28"/>
          <w:szCs w:val="28"/>
        </w:rPr>
        <w:t xml:space="preserve">размещены </w:t>
      </w:r>
      <w:r w:rsidR="00D01B4E" w:rsidRPr="005C3F49">
        <w:rPr>
          <w:bCs/>
          <w:sz w:val="28"/>
          <w:szCs w:val="28"/>
        </w:rPr>
        <w:t xml:space="preserve">на официальном сайте органов местного самоуправления города Нижневартовска в рубрике "Публичные слушания и общественные обсуждения", на </w:t>
      </w:r>
      <w:r w:rsidR="00D01B4E" w:rsidRPr="005C3F49">
        <w:rPr>
          <w:sz w:val="28"/>
          <w:szCs w:val="28"/>
        </w:rPr>
        <w:t xml:space="preserve">портале "Открытый бюджет города Нижневартовска" </w:t>
      </w:r>
      <w:r w:rsidR="00D01B4E" w:rsidRPr="005C3F49">
        <w:rPr>
          <w:sz w:val="28"/>
          <w:szCs w:val="28"/>
        </w:rPr>
        <w:br/>
        <w:t>в рубрике "Документы" / "Решения Думы города об исполнении бюджета" / "202</w:t>
      </w:r>
      <w:r w:rsidR="001C3B0F" w:rsidRPr="005C3F49">
        <w:rPr>
          <w:sz w:val="28"/>
          <w:szCs w:val="28"/>
        </w:rPr>
        <w:t>5</w:t>
      </w:r>
      <w:r w:rsidR="00D01B4E" w:rsidRPr="005C3F49">
        <w:rPr>
          <w:sz w:val="28"/>
          <w:szCs w:val="28"/>
        </w:rPr>
        <w:t xml:space="preserve"> год", </w:t>
      </w:r>
      <w:r w:rsidR="008273E3" w:rsidRPr="005C3F49">
        <w:rPr>
          <w:bCs/>
          <w:sz w:val="28"/>
          <w:szCs w:val="28"/>
        </w:rPr>
        <w:t xml:space="preserve">в </w:t>
      </w:r>
      <w:r w:rsidR="008273E3" w:rsidRPr="005C3F49">
        <w:rPr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  <w:r w:rsidR="008273E3" w:rsidRPr="005C3F49">
        <w:rPr>
          <w:bCs/>
          <w:sz w:val="28"/>
          <w:szCs w:val="28"/>
        </w:rPr>
        <w:t>.</w:t>
      </w:r>
    </w:p>
    <w:p w:rsidR="001C3B0F" w:rsidRPr="005C3F49" w:rsidRDefault="001C3B0F" w:rsidP="001C3B0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C3F49">
        <w:rPr>
          <w:sz w:val="28"/>
          <w:szCs w:val="28"/>
        </w:rPr>
        <w:t xml:space="preserve">Ключевыми приоритетами бюджетной политики города Нижневартовска в 2025 году являлись </w:t>
      </w:r>
      <w:r w:rsidRPr="005C3F49">
        <w:rPr>
          <w:bCs/>
          <w:sz w:val="28"/>
          <w:szCs w:val="28"/>
        </w:rPr>
        <w:t>достижение национальных целей развития Российской Федерации, сохранение финансовой устойчивости и сбалансированности бюджета города, увеличение доходного потенциала бюджета города и создание условий для устойчивого социально-экономического развития города.</w:t>
      </w:r>
    </w:p>
    <w:p w:rsidR="00BB12A8" w:rsidRPr="005C3F49" w:rsidRDefault="00BB12A8" w:rsidP="00BB12A8">
      <w:pPr>
        <w:tabs>
          <w:tab w:val="left" w:pos="709"/>
        </w:tabs>
        <w:rPr>
          <w:sz w:val="28"/>
          <w:szCs w:val="28"/>
        </w:rPr>
      </w:pPr>
      <w:r w:rsidRPr="005C3F49">
        <w:rPr>
          <w:sz w:val="28"/>
          <w:szCs w:val="28"/>
        </w:rPr>
        <w:t>Исполнение бюджета города по доходам за отчетный финансовый год составило 29 млрд. 350 млн. рублей при уточненных плановых назначениях –               29 млрд. 208 млн. рублей или 100,5%.</w:t>
      </w:r>
    </w:p>
    <w:p w:rsidR="00C162A8" w:rsidRPr="005C3F49" w:rsidRDefault="00C162A8" w:rsidP="00C162A8">
      <w:pPr>
        <w:rPr>
          <w:sz w:val="28"/>
          <w:szCs w:val="28"/>
        </w:rPr>
      </w:pPr>
      <w:r w:rsidRPr="005C3F49">
        <w:rPr>
          <w:sz w:val="28"/>
          <w:szCs w:val="28"/>
        </w:rPr>
        <w:t xml:space="preserve">В структуре доходов бюджета города преобладают безвозмездные поступления, их доля составила </w:t>
      </w:r>
      <w:r w:rsidR="00BB12A8" w:rsidRPr="005C3F49">
        <w:rPr>
          <w:sz w:val="28"/>
          <w:szCs w:val="28"/>
        </w:rPr>
        <w:t>53,0</w:t>
      </w:r>
      <w:r w:rsidRPr="005C3F49">
        <w:rPr>
          <w:sz w:val="28"/>
          <w:szCs w:val="28"/>
        </w:rPr>
        <w:t>%</w:t>
      </w:r>
      <w:r w:rsidR="00BB12A8" w:rsidRPr="005C3F49">
        <w:rPr>
          <w:sz w:val="28"/>
          <w:szCs w:val="28"/>
        </w:rPr>
        <w:t>.</w:t>
      </w:r>
      <w:r w:rsidRPr="005C3F49">
        <w:rPr>
          <w:sz w:val="28"/>
          <w:szCs w:val="28"/>
        </w:rPr>
        <w:t xml:space="preserve"> </w:t>
      </w:r>
      <w:r w:rsidR="00BB12A8" w:rsidRPr="005C3F49">
        <w:rPr>
          <w:sz w:val="28"/>
          <w:szCs w:val="28"/>
        </w:rPr>
        <w:t>Н</w:t>
      </w:r>
      <w:r w:rsidRPr="005C3F49">
        <w:rPr>
          <w:sz w:val="28"/>
          <w:szCs w:val="28"/>
        </w:rPr>
        <w:t xml:space="preserve">а долю налоговых доходов приходится </w:t>
      </w:r>
      <w:r w:rsidR="00BB12A8" w:rsidRPr="005C3F49">
        <w:rPr>
          <w:sz w:val="28"/>
          <w:szCs w:val="28"/>
        </w:rPr>
        <w:t>44,5</w:t>
      </w:r>
      <w:r w:rsidRPr="005C3F49">
        <w:rPr>
          <w:sz w:val="28"/>
          <w:szCs w:val="28"/>
        </w:rPr>
        <w:t xml:space="preserve">%, на неналоговые доходы – </w:t>
      </w:r>
      <w:r w:rsidR="00BB12A8" w:rsidRPr="005C3F49">
        <w:rPr>
          <w:sz w:val="28"/>
          <w:szCs w:val="28"/>
        </w:rPr>
        <w:t>2,5</w:t>
      </w:r>
      <w:r w:rsidRPr="005C3F49">
        <w:rPr>
          <w:sz w:val="28"/>
          <w:szCs w:val="28"/>
        </w:rPr>
        <w:t xml:space="preserve">%. </w:t>
      </w:r>
    </w:p>
    <w:p w:rsidR="00C162A8" w:rsidRPr="005C3F49" w:rsidRDefault="00C162A8" w:rsidP="00C162A8">
      <w:pPr>
        <w:rPr>
          <w:sz w:val="28"/>
          <w:szCs w:val="28"/>
          <w:lang w:eastAsia="x-none"/>
        </w:rPr>
      </w:pPr>
      <w:r w:rsidRPr="005C3F49">
        <w:rPr>
          <w:sz w:val="28"/>
          <w:szCs w:val="28"/>
        </w:rPr>
        <w:t>В абсолютном выражении б</w:t>
      </w:r>
      <w:r w:rsidRPr="005C3F49">
        <w:rPr>
          <w:rFonts w:eastAsia="Times New Roman"/>
          <w:sz w:val="28"/>
          <w:szCs w:val="28"/>
          <w:lang w:eastAsia="ru-RU"/>
        </w:rPr>
        <w:t xml:space="preserve">езвозмездные поступления </w:t>
      </w:r>
      <w:r w:rsidRPr="005C3F49">
        <w:rPr>
          <w:sz w:val="28"/>
          <w:szCs w:val="28"/>
          <w:lang w:eastAsia="x-none"/>
        </w:rPr>
        <w:t>в</w:t>
      </w:r>
      <w:r w:rsidRPr="005C3F49">
        <w:rPr>
          <w:sz w:val="28"/>
          <w:szCs w:val="28"/>
        </w:rPr>
        <w:t xml:space="preserve"> общем объеме доходов составили </w:t>
      </w:r>
      <w:r w:rsidR="00BB12A8" w:rsidRPr="005C3F49">
        <w:rPr>
          <w:sz w:val="28"/>
          <w:szCs w:val="28"/>
          <w:lang w:eastAsia="x-none"/>
        </w:rPr>
        <w:t>15</w:t>
      </w:r>
      <w:r w:rsidRPr="005C3F49">
        <w:rPr>
          <w:sz w:val="28"/>
          <w:szCs w:val="28"/>
          <w:lang w:eastAsia="x-none"/>
        </w:rPr>
        <w:t xml:space="preserve"> млрд. </w:t>
      </w:r>
      <w:r w:rsidR="00BB12A8" w:rsidRPr="005C3F49">
        <w:rPr>
          <w:sz w:val="28"/>
          <w:szCs w:val="28"/>
          <w:lang w:eastAsia="x-none"/>
        </w:rPr>
        <w:t>553</w:t>
      </w:r>
      <w:r w:rsidRPr="005C3F49">
        <w:rPr>
          <w:sz w:val="28"/>
          <w:szCs w:val="28"/>
          <w:lang w:eastAsia="x-none"/>
        </w:rPr>
        <w:t xml:space="preserve"> млн. рублей. </w:t>
      </w:r>
      <w:r w:rsidRPr="005C3F49">
        <w:rPr>
          <w:sz w:val="28"/>
          <w:szCs w:val="28"/>
        </w:rPr>
        <w:t xml:space="preserve">Основной объем безвозмездных поступлений составляют межбюджетные трансферты из бюджетов бюджетной системы Российской Федерации. </w:t>
      </w:r>
    </w:p>
    <w:p w:rsidR="00C162A8" w:rsidRPr="005C3F49" w:rsidRDefault="009A478B" w:rsidP="009A478B">
      <w:pPr>
        <w:rPr>
          <w:sz w:val="28"/>
          <w:szCs w:val="28"/>
        </w:rPr>
      </w:pPr>
      <w:r w:rsidRPr="005C3F49">
        <w:rPr>
          <w:sz w:val="28"/>
          <w:szCs w:val="28"/>
        </w:rPr>
        <w:t>Н</w:t>
      </w:r>
      <w:r w:rsidRPr="005C3F49">
        <w:rPr>
          <w:rFonts w:eastAsia="Times New Roman"/>
          <w:sz w:val="28"/>
          <w:szCs w:val="28"/>
          <w:lang w:eastAsia="x-none"/>
        </w:rPr>
        <w:t xml:space="preserve">алоговые и неналоговые доходы составили </w:t>
      </w:r>
      <w:r w:rsidR="00BB12A8" w:rsidRPr="005C3F49">
        <w:rPr>
          <w:rFonts w:eastAsia="Times New Roman"/>
          <w:sz w:val="28"/>
          <w:szCs w:val="28"/>
          <w:lang w:eastAsia="x-none"/>
        </w:rPr>
        <w:t>13</w:t>
      </w:r>
      <w:r w:rsidRPr="005C3F49">
        <w:rPr>
          <w:rFonts w:eastAsia="Times New Roman"/>
          <w:sz w:val="28"/>
          <w:szCs w:val="28"/>
          <w:lang w:eastAsia="x-none"/>
        </w:rPr>
        <w:t xml:space="preserve"> млрд. </w:t>
      </w:r>
      <w:r w:rsidR="00BB12A8" w:rsidRPr="005C3F49">
        <w:rPr>
          <w:rFonts w:eastAsia="Times New Roman"/>
          <w:sz w:val="28"/>
          <w:szCs w:val="28"/>
          <w:lang w:eastAsia="x-none"/>
        </w:rPr>
        <w:t>797</w:t>
      </w:r>
      <w:r w:rsidRPr="005C3F49">
        <w:rPr>
          <w:rFonts w:eastAsia="Times New Roman"/>
          <w:sz w:val="28"/>
          <w:szCs w:val="28"/>
          <w:lang w:eastAsia="x-none"/>
        </w:rPr>
        <w:t xml:space="preserve"> млн</w:t>
      </w:r>
      <w:r w:rsidRPr="005C3F49">
        <w:rPr>
          <w:rFonts w:eastAsia="Times New Roman"/>
          <w:snapToGrid w:val="0"/>
          <w:sz w:val="28"/>
          <w:szCs w:val="28"/>
        </w:rPr>
        <w:t xml:space="preserve">. рублей. </w:t>
      </w:r>
      <w:r w:rsidR="00C162A8" w:rsidRPr="005C3F49">
        <w:rPr>
          <w:sz w:val="28"/>
          <w:szCs w:val="28"/>
        </w:rPr>
        <w:t>Базовыми формирующими налоговых и неналоговых доходов</w:t>
      </w:r>
      <w:r w:rsidR="00C162A8" w:rsidRPr="005C3F49">
        <w:rPr>
          <w:bCs/>
          <w:sz w:val="28"/>
          <w:szCs w:val="28"/>
        </w:rPr>
        <w:t xml:space="preserve">, по-прежнему, </w:t>
      </w:r>
      <w:r w:rsidRPr="005C3F49">
        <w:rPr>
          <w:sz w:val="28"/>
          <w:szCs w:val="28"/>
        </w:rPr>
        <w:t xml:space="preserve">являются </w:t>
      </w:r>
      <w:r w:rsidR="00C162A8" w:rsidRPr="005C3F49">
        <w:rPr>
          <w:bCs/>
          <w:sz w:val="28"/>
          <w:szCs w:val="28"/>
        </w:rPr>
        <w:t xml:space="preserve">налог на доходы физических лиц, </w:t>
      </w:r>
      <w:r w:rsidR="00C162A8" w:rsidRPr="005C3F49">
        <w:rPr>
          <w:sz w:val="28"/>
          <w:szCs w:val="28"/>
        </w:rPr>
        <w:t>налоги на совокупный доход, налоги на имущество, доходы от использования и продажи имущества, находящегося</w:t>
      </w:r>
      <w:r w:rsidRPr="005C3F49">
        <w:rPr>
          <w:sz w:val="28"/>
          <w:szCs w:val="28"/>
        </w:rPr>
        <w:t xml:space="preserve"> в муниципальной собственности.</w:t>
      </w:r>
    </w:p>
    <w:p w:rsidR="00BB12A8" w:rsidRPr="005C3F49" w:rsidRDefault="00BB12A8" w:rsidP="00BB12A8">
      <w:pPr>
        <w:rPr>
          <w:sz w:val="28"/>
          <w:szCs w:val="28"/>
        </w:rPr>
      </w:pPr>
      <w:r w:rsidRPr="005C3F49">
        <w:rPr>
          <w:sz w:val="28"/>
          <w:szCs w:val="28"/>
        </w:rPr>
        <w:t xml:space="preserve">Исполнение бюджета города по расходам за отчетный 2025 год составило 30 млрд. 425 млн. рублей или 96,4% к уточненным плановым назначениям –                   </w:t>
      </w:r>
      <w:r w:rsidRPr="005C3F49">
        <w:rPr>
          <w:rFonts w:eastAsia="Times New Roman"/>
          <w:sz w:val="28"/>
          <w:szCs w:val="28"/>
          <w:lang w:eastAsia="ru-RU"/>
        </w:rPr>
        <w:t>31 млрд. 548 млн</w:t>
      </w:r>
      <w:r w:rsidRPr="005C3F49">
        <w:rPr>
          <w:sz w:val="28"/>
          <w:szCs w:val="28"/>
        </w:rPr>
        <w:t>. рублей.</w:t>
      </w:r>
    </w:p>
    <w:p w:rsidR="00BB12A8" w:rsidRPr="005C3F49" w:rsidRDefault="00E372AB" w:rsidP="008273E3">
      <w:pPr>
        <w:pStyle w:val="a6"/>
        <w:ind w:firstLine="709"/>
        <w:jc w:val="both"/>
        <w:rPr>
          <w:rFonts w:eastAsiaTheme="minorHAnsi"/>
          <w:b w:val="0"/>
          <w:sz w:val="28"/>
          <w:szCs w:val="28"/>
        </w:rPr>
      </w:pPr>
      <w:r w:rsidRPr="005C3F49">
        <w:rPr>
          <w:b w:val="0"/>
          <w:sz w:val="28"/>
          <w:szCs w:val="28"/>
          <w:lang w:eastAsia="ru-RU"/>
        </w:rPr>
        <w:t>На исполнение расходных обязательств муниципального образования, возникающих в связи с осуществлением полномочий по вопросам местного значения, в отчетном финансовом году направлено 18 млрд. 177 млн. рублей.</w:t>
      </w:r>
    </w:p>
    <w:p w:rsidR="00E372AB" w:rsidRPr="005C3F49" w:rsidRDefault="00E372AB" w:rsidP="00E372AB">
      <w:pPr>
        <w:ind w:firstLine="708"/>
        <w:rPr>
          <w:rFonts w:eastAsia="Times New Roman"/>
          <w:sz w:val="28"/>
          <w:szCs w:val="28"/>
          <w:lang w:eastAsia="ru-RU"/>
        </w:rPr>
      </w:pPr>
      <w:r w:rsidRPr="005C3F49">
        <w:rPr>
          <w:sz w:val="28"/>
          <w:szCs w:val="28"/>
          <w:lang w:eastAsia="ru-RU"/>
        </w:rPr>
        <w:t>На исполнение расходных обязательств муниципального образования, реализуемых за счет субвенций из бюджетов бюджетной системы Российской Федерации для осуществления отдельных государственных полномочий, направлено 12 млрд. 248 млн</w:t>
      </w:r>
      <w:r w:rsidRPr="005C3F49">
        <w:rPr>
          <w:rFonts w:eastAsia="Times New Roman"/>
          <w:sz w:val="28"/>
          <w:szCs w:val="28"/>
          <w:lang w:eastAsia="ru-RU"/>
        </w:rPr>
        <w:t>. рублей.</w:t>
      </w:r>
    </w:p>
    <w:p w:rsidR="00E372AB" w:rsidRPr="005C3F49" w:rsidRDefault="00E372AB" w:rsidP="00E372AB">
      <w:pPr>
        <w:ind w:firstLine="708"/>
        <w:rPr>
          <w:sz w:val="28"/>
          <w:szCs w:val="28"/>
        </w:rPr>
      </w:pPr>
      <w:r w:rsidRPr="005C3F49">
        <w:rPr>
          <w:sz w:val="28"/>
          <w:szCs w:val="28"/>
        </w:rPr>
        <w:t xml:space="preserve">Исполнение бюджета города осуществлялось в программном </w:t>
      </w:r>
      <w:r w:rsidRPr="005C3F49">
        <w:rPr>
          <w:sz w:val="28"/>
          <w:szCs w:val="28"/>
        </w:rPr>
        <w:br/>
        <w:t xml:space="preserve">и непрограммном формате. </w:t>
      </w:r>
      <w:r w:rsidRPr="005C3F49">
        <w:rPr>
          <w:rFonts w:eastAsia="Times New Roman"/>
          <w:sz w:val="28"/>
          <w:szCs w:val="28"/>
          <w:lang w:eastAsia="ru-RU"/>
        </w:rPr>
        <w:t xml:space="preserve">В общем объеме расходов удельный вес затрат на реализацию 18 муниципальных программ составил </w:t>
      </w:r>
      <w:r w:rsidRPr="005C3F49">
        <w:rPr>
          <w:sz w:val="28"/>
          <w:szCs w:val="28"/>
        </w:rPr>
        <w:t xml:space="preserve">95,9%, по непрограммным направлениям деятельности 4,1%. </w:t>
      </w:r>
    </w:p>
    <w:p w:rsidR="003D3A42" w:rsidRPr="005C3F49" w:rsidRDefault="003D3A42" w:rsidP="00BA1DE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C3F49">
        <w:rPr>
          <w:sz w:val="28"/>
          <w:szCs w:val="28"/>
        </w:rPr>
        <w:t xml:space="preserve">Реализация муниципальных программ осуществлялась в рамках проектной деятельности через региональные, муниципальные и инициативные проекты, и комплексов процессных мероприятий. </w:t>
      </w:r>
    </w:p>
    <w:p w:rsidR="00A73CC0" w:rsidRPr="005C3F49" w:rsidRDefault="00A73CC0" w:rsidP="00A73CC0">
      <w:pPr>
        <w:rPr>
          <w:sz w:val="28"/>
          <w:szCs w:val="32"/>
        </w:rPr>
      </w:pPr>
      <w:r w:rsidRPr="005C3F49">
        <w:rPr>
          <w:sz w:val="28"/>
          <w:szCs w:val="32"/>
        </w:rPr>
        <w:t>Проектная часть муниципальных программ исполнена на 74</w:t>
      </w:r>
      <w:r w:rsidR="0000497C" w:rsidRPr="005C3F49">
        <w:rPr>
          <w:sz w:val="28"/>
          <w:szCs w:val="32"/>
        </w:rPr>
        <w:t>,4</w:t>
      </w:r>
      <w:r w:rsidRPr="005C3F49">
        <w:rPr>
          <w:sz w:val="28"/>
          <w:szCs w:val="32"/>
        </w:rPr>
        <w:t xml:space="preserve">% </w:t>
      </w:r>
      <w:r w:rsidRPr="005C3F49">
        <w:rPr>
          <w:sz w:val="28"/>
          <w:szCs w:val="32"/>
        </w:rPr>
        <w:br/>
        <w:t>и составила 1 млрд. 824 млн. рублей</w:t>
      </w:r>
      <w:r w:rsidR="0087489D" w:rsidRPr="005C3F49">
        <w:rPr>
          <w:sz w:val="28"/>
          <w:szCs w:val="32"/>
        </w:rPr>
        <w:t xml:space="preserve">, из </w:t>
      </w:r>
      <w:r w:rsidR="0045296D" w:rsidRPr="005C3F49">
        <w:rPr>
          <w:sz w:val="28"/>
          <w:szCs w:val="32"/>
        </w:rPr>
        <w:t>н</w:t>
      </w:r>
      <w:r w:rsidR="0087489D" w:rsidRPr="005C3F49">
        <w:rPr>
          <w:sz w:val="28"/>
          <w:szCs w:val="32"/>
        </w:rPr>
        <w:t>их н</w:t>
      </w:r>
      <w:r w:rsidR="0087489D" w:rsidRPr="005C3F49">
        <w:rPr>
          <w:rFonts w:eastAsia="Calibri"/>
          <w:sz w:val="28"/>
          <w:szCs w:val="32"/>
        </w:rPr>
        <w:t>а реализацию</w:t>
      </w:r>
      <w:r w:rsidRPr="005C3F49">
        <w:rPr>
          <w:sz w:val="28"/>
          <w:szCs w:val="32"/>
        </w:rPr>
        <w:t>:</w:t>
      </w:r>
    </w:p>
    <w:p w:rsidR="00A73CC0" w:rsidRPr="005C3F49" w:rsidRDefault="00A73CC0" w:rsidP="00A73CC0">
      <w:pPr>
        <w:rPr>
          <w:rFonts w:eastAsia="Calibri"/>
          <w:sz w:val="28"/>
          <w:szCs w:val="32"/>
        </w:rPr>
      </w:pPr>
      <w:r w:rsidRPr="005C3F49">
        <w:rPr>
          <w:rFonts w:eastAsia="Calibri"/>
          <w:sz w:val="28"/>
          <w:szCs w:val="32"/>
        </w:rPr>
        <w:t>5</w:t>
      </w:r>
      <w:r w:rsidR="0000497C" w:rsidRPr="005C3F49">
        <w:rPr>
          <w:rFonts w:eastAsia="Calibri"/>
          <w:sz w:val="28"/>
          <w:szCs w:val="32"/>
        </w:rPr>
        <w:t>-ти</w:t>
      </w:r>
      <w:r w:rsidRPr="005C3F49">
        <w:rPr>
          <w:rFonts w:eastAsia="Calibri"/>
          <w:sz w:val="28"/>
          <w:szCs w:val="32"/>
        </w:rPr>
        <w:t xml:space="preserve"> региональных проектов, направленных на достижение целей, показателей и решение задач 3-х национальных проектов</w:t>
      </w:r>
      <w:r w:rsidR="0087489D" w:rsidRPr="005C3F49">
        <w:rPr>
          <w:rFonts w:eastAsia="Calibri"/>
          <w:sz w:val="28"/>
          <w:szCs w:val="32"/>
        </w:rPr>
        <w:t xml:space="preserve">, направлено </w:t>
      </w:r>
      <w:r w:rsidR="0087489D" w:rsidRPr="005C3F49">
        <w:rPr>
          <w:sz w:val="28"/>
          <w:szCs w:val="32"/>
        </w:rPr>
        <w:t>692 млн. рублей</w:t>
      </w:r>
      <w:r w:rsidRPr="005C3F49">
        <w:rPr>
          <w:rFonts w:eastAsia="Calibri"/>
          <w:sz w:val="28"/>
          <w:szCs w:val="32"/>
        </w:rPr>
        <w:t>;</w:t>
      </w:r>
    </w:p>
    <w:p w:rsidR="00A73CC0" w:rsidRPr="005C3F49" w:rsidRDefault="0000497C" w:rsidP="00A73CC0">
      <w:pPr>
        <w:rPr>
          <w:rFonts w:eastAsia="Calibri"/>
          <w:sz w:val="28"/>
          <w:szCs w:val="32"/>
        </w:rPr>
      </w:pPr>
      <w:r w:rsidRPr="005C3F49">
        <w:rPr>
          <w:rFonts w:eastAsia="Calibri"/>
          <w:sz w:val="28"/>
          <w:szCs w:val="32"/>
        </w:rPr>
        <w:t>6-ти региональных проектов, направленных на достижение показателей федеральных проектов, не входящих в состав национальных проектов</w:t>
      </w:r>
      <w:r w:rsidR="0087489D" w:rsidRPr="005C3F49">
        <w:rPr>
          <w:rFonts w:eastAsia="Calibri"/>
          <w:sz w:val="28"/>
          <w:szCs w:val="32"/>
        </w:rPr>
        <w:t xml:space="preserve">, – </w:t>
      </w:r>
      <w:r w:rsidR="0087489D" w:rsidRPr="005C3F49">
        <w:rPr>
          <w:rFonts w:eastAsia="Calibri"/>
          <w:sz w:val="28"/>
          <w:szCs w:val="32"/>
        </w:rPr>
        <w:br/>
        <w:t>180 млн. рублей</w:t>
      </w:r>
      <w:r w:rsidRPr="005C3F49">
        <w:rPr>
          <w:rFonts w:eastAsia="Calibri"/>
          <w:sz w:val="28"/>
          <w:szCs w:val="32"/>
        </w:rPr>
        <w:t>;</w:t>
      </w:r>
    </w:p>
    <w:p w:rsidR="0000497C" w:rsidRPr="005C3F49" w:rsidRDefault="0087489D" w:rsidP="0000497C">
      <w:pPr>
        <w:rPr>
          <w:rFonts w:eastAsia="Calibri"/>
          <w:sz w:val="28"/>
          <w:szCs w:val="32"/>
        </w:rPr>
      </w:pPr>
      <w:r w:rsidRPr="005C3F49">
        <w:rPr>
          <w:rFonts w:eastAsia="Calibri"/>
          <w:sz w:val="28"/>
          <w:szCs w:val="32"/>
        </w:rPr>
        <w:t xml:space="preserve">1-го регионального проекта, направленного на достижение целей социально-экономического развития Ханты-Мансийского автономного округа – Югры, – </w:t>
      </w:r>
      <w:r w:rsidR="0000497C" w:rsidRPr="005C3F49">
        <w:rPr>
          <w:rFonts w:eastAsia="Calibri"/>
          <w:sz w:val="28"/>
          <w:szCs w:val="32"/>
        </w:rPr>
        <w:t>343 млн. рублей</w:t>
      </w:r>
      <w:r w:rsidRPr="005C3F49">
        <w:rPr>
          <w:rFonts w:eastAsia="Calibri"/>
          <w:sz w:val="28"/>
          <w:szCs w:val="32"/>
        </w:rPr>
        <w:t>;</w:t>
      </w:r>
    </w:p>
    <w:p w:rsidR="0087489D" w:rsidRPr="001B7BC3" w:rsidRDefault="0087489D" w:rsidP="00BA1DE8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5C3F49">
        <w:rPr>
          <w:rFonts w:eastAsia="Calibri"/>
          <w:sz w:val="28"/>
          <w:szCs w:val="32"/>
        </w:rPr>
        <w:t>9-ти муниципальных проектов</w:t>
      </w:r>
      <w:r w:rsidR="001B7BC3" w:rsidRPr="001B7BC3">
        <w:rPr>
          <w:rFonts w:eastAsia="Calibri"/>
          <w:sz w:val="28"/>
          <w:szCs w:val="28"/>
        </w:rPr>
        <w:t xml:space="preserve">, </w:t>
      </w:r>
      <w:r w:rsidR="001B7BC3" w:rsidRPr="001B7BC3">
        <w:rPr>
          <w:sz w:val="28"/>
          <w:szCs w:val="28"/>
        </w:rPr>
        <w:t>направленны</w:t>
      </w:r>
      <w:r w:rsidR="001B7BC3" w:rsidRPr="001B7BC3">
        <w:rPr>
          <w:sz w:val="28"/>
          <w:szCs w:val="28"/>
        </w:rPr>
        <w:t>х</w:t>
      </w:r>
      <w:r w:rsidR="001B7BC3" w:rsidRPr="001B7BC3">
        <w:rPr>
          <w:sz w:val="28"/>
          <w:szCs w:val="28"/>
        </w:rPr>
        <w:t xml:space="preserve"> на достижение целей социально-экономического развития города</w:t>
      </w:r>
      <w:r w:rsidR="001B7BC3" w:rsidRPr="001B7BC3">
        <w:rPr>
          <w:sz w:val="28"/>
          <w:szCs w:val="28"/>
        </w:rPr>
        <w:t>,</w:t>
      </w:r>
      <w:r w:rsidRPr="001B7BC3">
        <w:rPr>
          <w:rFonts w:eastAsia="Calibri"/>
          <w:sz w:val="28"/>
          <w:szCs w:val="28"/>
        </w:rPr>
        <w:t xml:space="preserve"> – 533 млн. рублей;</w:t>
      </w:r>
    </w:p>
    <w:p w:rsidR="0000497C" w:rsidRPr="005C3F49" w:rsidRDefault="0087489D" w:rsidP="00BA1DE8">
      <w:pPr>
        <w:autoSpaceDE w:val="0"/>
        <w:autoSpaceDN w:val="0"/>
        <w:adjustRightInd w:val="0"/>
        <w:ind w:firstLine="708"/>
        <w:rPr>
          <w:rFonts w:eastAsia="Calibri"/>
          <w:sz w:val="28"/>
          <w:szCs w:val="32"/>
        </w:rPr>
      </w:pPr>
      <w:r w:rsidRPr="005C3F49">
        <w:rPr>
          <w:rFonts w:eastAsia="Calibri"/>
          <w:sz w:val="28"/>
          <w:szCs w:val="32"/>
        </w:rPr>
        <w:t xml:space="preserve">13-ти инициативных проектов – </w:t>
      </w:r>
      <w:r w:rsidR="0000497C" w:rsidRPr="005C3F49">
        <w:rPr>
          <w:rFonts w:eastAsia="Calibri"/>
          <w:sz w:val="28"/>
          <w:szCs w:val="32"/>
        </w:rPr>
        <w:t xml:space="preserve">76 </w:t>
      </w:r>
      <w:r w:rsidRPr="005C3F49">
        <w:rPr>
          <w:rFonts w:eastAsia="Calibri"/>
          <w:sz w:val="28"/>
          <w:szCs w:val="32"/>
        </w:rPr>
        <w:t>млн. рублей</w:t>
      </w:r>
      <w:r w:rsidR="0000497C" w:rsidRPr="005C3F49">
        <w:rPr>
          <w:rFonts w:eastAsia="Calibri"/>
          <w:sz w:val="28"/>
          <w:szCs w:val="32"/>
        </w:rPr>
        <w:t>.</w:t>
      </w:r>
    </w:p>
    <w:p w:rsidR="0000497C" w:rsidRPr="005C3F49" w:rsidRDefault="0000497C" w:rsidP="00BA1DE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C3F49">
        <w:rPr>
          <w:rFonts w:eastAsia="Calibri"/>
          <w:sz w:val="28"/>
          <w:szCs w:val="32"/>
        </w:rPr>
        <w:t xml:space="preserve">Процессная часть муниципальных программ исполнена на 98,6% </w:t>
      </w:r>
      <w:r w:rsidRPr="005C3F49">
        <w:rPr>
          <w:rFonts w:eastAsia="Calibri"/>
          <w:sz w:val="28"/>
          <w:szCs w:val="32"/>
        </w:rPr>
        <w:br/>
        <w:t xml:space="preserve">и составила 27 </w:t>
      </w:r>
      <w:r w:rsidRPr="005C3F49">
        <w:rPr>
          <w:sz w:val="28"/>
          <w:szCs w:val="32"/>
        </w:rPr>
        <w:t xml:space="preserve">млрд. </w:t>
      </w:r>
      <w:r w:rsidRPr="005C3F49">
        <w:rPr>
          <w:rFonts w:eastAsia="Calibri"/>
          <w:sz w:val="28"/>
          <w:szCs w:val="32"/>
        </w:rPr>
        <w:t>357 млн. рублей.</w:t>
      </w:r>
    </w:p>
    <w:p w:rsidR="00A73CC0" w:rsidRPr="005C3F49" w:rsidRDefault="00A73CC0" w:rsidP="00A73CC0">
      <w:pPr>
        <w:widowControl w:val="0"/>
        <w:rPr>
          <w:sz w:val="28"/>
          <w:szCs w:val="28"/>
        </w:rPr>
      </w:pPr>
      <w:r w:rsidRPr="005C3F49">
        <w:rPr>
          <w:sz w:val="28"/>
          <w:szCs w:val="28"/>
        </w:rPr>
        <w:t xml:space="preserve">Традиционно бюджет города сохраняет социальную направленность. </w:t>
      </w:r>
      <w:r w:rsidRPr="005C3F49">
        <w:rPr>
          <w:sz w:val="28"/>
          <w:szCs w:val="28"/>
        </w:rPr>
        <w:br/>
        <w:t xml:space="preserve">На отрасли социальной сферы, как и прежде, направлен основной объем средств – 20 млрд. 954 млн. рублей, что составляет </w:t>
      </w:r>
      <w:r w:rsidR="0000497C" w:rsidRPr="005C3F49">
        <w:rPr>
          <w:sz w:val="28"/>
          <w:szCs w:val="28"/>
        </w:rPr>
        <w:t>68,9</w:t>
      </w:r>
      <w:r w:rsidRPr="005C3F49">
        <w:rPr>
          <w:kern w:val="24"/>
          <w:sz w:val="28"/>
          <w:szCs w:val="28"/>
        </w:rPr>
        <w:t>%</w:t>
      </w:r>
      <w:r w:rsidRPr="005C3F49">
        <w:rPr>
          <w:sz w:val="28"/>
          <w:szCs w:val="28"/>
        </w:rPr>
        <w:t xml:space="preserve"> от общего объема расходов. </w:t>
      </w:r>
    </w:p>
    <w:p w:rsidR="00A73CC0" w:rsidRPr="005C3F49" w:rsidRDefault="00A73CC0" w:rsidP="00A73CC0">
      <w:pPr>
        <w:autoSpaceDE w:val="0"/>
        <w:autoSpaceDN w:val="0"/>
        <w:adjustRightInd w:val="0"/>
        <w:rPr>
          <w:kern w:val="24"/>
          <w:sz w:val="28"/>
          <w:szCs w:val="28"/>
        </w:rPr>
      </w:pPr>
      <w:r w:rsidRPr="005C3F49">
        <w:rPr>
          <w:sz w:val="28"/>
          <w:szCs w:val="28"/>
        </w:rPr>
        <w:t xml:space="preserve">На финансирование отраслей производственной сферы направлено </w:t>
      </w:r>
      <w:r w:rsidRPr="005C3F49">
        <w:rPr>
          <w:sz w:val="28"/>
          <w:szCs w:val="28"/>
        </w:rPr>
        <w:br/>
        <w:t>7 млрд. 126 млн. рублей, или 23</w:t>
      </w:r>
      <w:r w:rsidR="0000497C" w:rsidRPr="005C3F49">
        <w:rPr>
          <w:sz w:val="28"/>
          <w:szCs w:val="28"/>
        </w:rPr>
        <w:t>,5</w:t>
      </w:r>
      <w:r w:rsidRPr="005C3F49">
        <w:rPr>
          <w:kern w:val="24"/>
          <w:sz w:val="28"/>
          <w:szCs w:val="28"/>
        </w:rPr>
        <w:t>%</w:t>
      </w:r>
      <w:r w:rsidRPr="005C3F49">
        <w:rPr>
          <w:sz w:val="28"/>
          <w:szCs w:val="28"/>
        </w:rPr>
        <w:t xml:space="preserve"> всех расходов бюджета города.</w:t>
      </w:r>
    </w:p>
    <w:p w:rsidR="008273E3" w:rsidRPr="005C3F49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5C3F49">
        <w:rPr>
          <w:b w:val="0"/>
          <w:sz w:val="28"/>
          <w:szCs w:val="28"/>
        </w:rPr>
        <w:t xml:space="preserve">Расходы на дорожную деятельность составили </w:t>
      </w:r>
      <w:r w:rsidR="00EE667B" w:rsidRPr="005C3F49">
        <w:rPr>
          <w:b w:val="0"/>
          <w:sz w:val="28"/>
          <w:szCs w:val="28"/>
        </w:rPr>
        <w:t>3 млрд. 278</w:t>
      </w:r>
      <w:r w:rsidRPr="005C3F49">
        <w:rPr>
          <w:b w:val="0"/>
          <w:sz w:val="28"/>
          <w:szCs w:val="28"/>
        </w:rPr>
        <w:t xml:space="preserve"> млн. рублей.</w:t>
      </w:r>
    </w:p>
    <w:p w:rsidR="008273E3" w:rsidRPr="005C3F49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5C3F49">
        <w:rPr>
          <w:b w:val="0"/>
          <w:sz w:val="28"/>
          <w:szCs w:val="28"/>
        </w:rPr>
        <w:t xml:space="preserve">Бюджетные инвестиции в объекты муниципальной собственности (без учета инвестиций в объекты дорожной деятельности) сложились в объеме           </w:t>
      </w:r>
      <w:r w:rsidR="00374D20" w:rsidRPr="005C3F49">
        <w:rPr>
          <w:b w:val="0"/>
          <w:sz w:val="28"/>
          <w:szCs w:val="28"/>
        </w:rPr>
        <w:t>313</w:t>
      </w:r>
      <w:r w:rsidRPr="005C3F49">
        <w:rPr>
          <w:b w:val="0"/>
          <w:sz w:val="28"/>
          <w:szCs w:val="28"/>
        </w:rPr>
        <w:t xml:space="preserve"> млн. рублей.</w:t>
      </w:r>
    </w:p>
    <w:p w:rsidR="006D249E" w:rsidRPr="005C3F49" w:rsidRDefault="008273E3" w:rsidP="006D249E">
      <w:pPr>
        <w:pStyle w:val="a6"/>
        <w:ind w:firstLine="709"/>
        <w:jc w:val="both"/>
        <w:rPr>
          <w:b w:val="0"/>
          <w:bCs/>
          <w:sz w:val="28"/>
          <w:szCs w:val="28"/>
        </w:rPr>
      </w:pPr>
      <w:r w:rsidRPr="005C3F49">
        <w:rPr>
          <w:b w:val="0"/>
          <w:sz w:val="28"/>
          <w:szCs w:val="28"/>
        </w:rPr>
        <w:t xml:space="preserve">Резервный фонд администрации города в отчетном году был </w:t>
      </w:r>
      <w:r w:rsidR="00A64BDA" w:rsidRPr="005C3F49">
        <w:rPr>
          <w:b w:val="0"/>
          <w:sz w:val="28"/>
          <w:szCs w:val="28"/>
        </w:rPr>
        <w:t xml:space="preserve">предусмотрен в объеме 50 млн. рублей, </w:t>
      </w:r>
      <w:r w:rsidRPr="005C3F49">
        <w:rPr>
          <w:b w:val="0"/>
          <w:sz w:val="28"/>
          <w:szCs w:val="28"/>
        </w:rPr>
        <w:t>распределен</w:t>
      </w:r>
      <w:r w:rsidR="00B144EB" w:rsidRPr="005C3F49">
        <w:rPr>
          <w:b w:val="0"/>
          <w:sz w:val="28"/>
          <w:szCs w:val="28"/>
        </w:rPr>
        <w:t xml:space="preserve"> </w:t>
      </w:r>
      <w:r w:rsidR="0045296D" w:rsidRPr="005C3F49">
        <w:rPr>
          <w:b w:val="0"/>
          <w:sz w:val="28"/>
          <w:szCs w:val="28"/>
        </w:rPr>
        <w:t>в сумме чуть менее</w:t>
      </w:r>
      <w:r w:rsidR="00A64BDA" w:rsidRPr="005C3F49">
        <w:rPr>
          <w:b w:val="0"/>
          <w:sz w:val="28"/>
          <w:szCs w:val="28"/>
        </w:rPr>
        <w:t xml:space="preserve"> </w:t>
      </w:r>
      <w:r w:rsidR="0045296D" w:rsidRPr="005C3F49">
        <w:rPr>
          <w:b w:val="0"/>
          <w:sz w:val="28"/>
          <w:szCs w:val="28"/>
        </w:rPr>
        <w:br/>
      </w:r>
      <w:r w:rsidR="00A64BDA" w:rsidRPr="005C3F49">
        <w:rPr>
          <w:b w:val="0"/>
          <w:sz w:val="28"/>
          <w:szCs w:val="28"/>
        </w:rPr>
        <w:t>4</w:t>
      </w:r>
      <w:r w:rsidR="0045296D" w:rsidRPr="005C3F49">
        <w:rPr>
          <w:b w:val="0"/>
          <w:sz w:val="28"/>
          <w:szCs w:val="28"/>
        </w:rPr>
        <w:t>-х</w:t>
      </w:r>
      <w:r w:rsidR="006D249E" w:rsidRPr="005C3F49">
        <w:rPr>
          <w:b w:val="0"/>
          <w:sz w:val="28"/>
          <w:szCs w:val="28"/>
        </w:rPr>
        <w:t xml:space="preserve"> млн. рублей</w:t>
      </w:r>
      <w:r w:rsidR="008751A1" w:rsidRPr="005C3F49">
        <w:rPr>
          <w:b w:val="0"/>
          <w:sz w:val="28"/>
          <w:szCs w:val="28"/>
        </w:rPr>
        <w:t>.</w:t>
      </w:r>
    </w:p>
    <w:p w:rsidR="00B144EB" w:rsidRPr="005C3F49" w:rsidRDefault="00B144EB" w:rsidP="00B144EB">
      <w:pPr>
        <w:widowControl w:val="0"/>
        <w:contextualSpacing/>
        <w:rPr>
          <w:kern w:val="24"/>
          <w:sz w:val="28"/>
          <w:szCs w:val="28"/>
        </w:rPr>
      </w:pPr>
      <w:r w:rsidRPr="005C3F49">
        <w:rPr>
          <w:kern w:val="24"/>
          <w:sz w:val="28"/>
          <w:szCs w:val="28"/>
        </w:rPr>
        <w:t>Объем муниципального долга по состоянию на 1 января 202</w:t>
      </w:r>
      <w:r w:rsidR="004C3592" w:rsidRPr="005C3F49">
        <w:rPr>
          <w:kern w:val="24"/>
          <w:sz w:val="28"/>
          <w:szCs w:val="28"/>
        </w:rPr>
        <w:t>6</w:t>
      </w:r>
      <w:r w:rsidRPr="005C3F49">
        <w:rPr>
          <w:kern w:val="24"/>
          <w:sz w:val="28"/>
          <w:szCs w:val="28"/>
        </w:rPr>
        <w:t xml:space="preserve"> года </w:t>
      </w:r>
      <w:r w:rsidR="004C3592" w:rsidRPr="005C3F49">
        <w:rPr>
          <w:sz w:val="28"/>
          <w:szCs w:val="24"/>
          <w:lang w:val="x-none" w:eastAsia="x-none"/>
        </w:rPr>
        <w:t xml:space="preserve">составил </w:t>
      </w:r>
      <w:r w:rsidR="004C3592" w:rsidRPr="005C3F49">
        <w:rPr>
          <w:sz w:val="28"/>
          <w:szCs w:val="24"/>
          <w:lang w:eastAsia="x-none"/>
        </w:rPr>
        <w:t xml:space="preserve">почти </w:t>
      </w:r>
      <w:r w:rsidR="004C3592" w:rsidRPr="005C3F49">
        <w:rPr>
          <w:rFonts w:eastAsia="Times New Roman"/>
          <w:bCs/>
          <w:sz w:val="28"/>
          <w:szCs w:val="28"/>
          <w:lang w:eastAsia="ru-RU"/>
        </w:rPr>
        <w:t>275</w:t>
      </w:r>
      <w:r w:rsidR="004C3592" w:rsidRPr="005C3F49">
        <w:rPr>
          <w:sz w:val="28"/>
          <w:szCs w:val="24"/>
          <w:lang w:eastAsia="x-none"/>
        </w:rPr>
        <w:t xml:space="preserve"> млн</w:t>
      </w:r>
      <w:r w:rsidR="004C3592" w:rsidRPr="005C3F49">
        <w:rPr>
          <w:sz w:val="28"/>
          <w:szCs w:val="24"/>
          <w:lang w:val="x-none" w:eastAsia="x-none"/>
        </w:rPr>
        <w:t xml:space="preserve">. рублей в виде обязательств по </w:t>
      </w:r>
      <w:r w:rsidR="004C3592" w:rsidRPr="005C3F49">
        <w:rPr>
          <w:sz w:val="28"/>
          <w:szCs w:val="24"/>
          <w:lang w:eastAsia="x-none"/>
        </w:rPr>
        <w:t>бюджетным кредитам</w:t>
      </w:r>
      <w:r w:rsidR="004C3592" w:rsidRPr="005C3F49">
        <w:rPr>
          <w:sz w:val="28"/>
          <w:szCs w:val="24"/>
          <w:lang w:val="x-none" w:eastAsia="x-none"/>
        </w:rPr>
        <w:t>.</w:t>
      </w:r>
      <w:r w:rsidR="004C3592" w:rsidRPr="005C3F49">
        <w:rPr>
          <w:sz w:val="28"/>
          <w:szCs w:val="24"/>
          <w:lang w:eastAsia="x-none"/>
        </w:rPr>
        <w:t xml:space="preserve"> </w:t>
      </w:r>
      <w:r w:rsidRPr="005C3F49">
        <w:rPr>
          <w:kern w:val="24"/>
          <w:sz w:val="28"/>
          <w:szCs w:val="28"/>
        </w:rPr>
        <w:t xml:space="preserve">Расходы на его обслуживание составили </w:t>
      </w:r>
      <w:r w:rsidR="004C3592" w:rsidRPr="005C3F49">
        <w:rPr>
          <w:kern w:val="24"/>
          <w:sz w:val="28"/>
          <w:szCs w:val="28"/>
        </w:rPr>
        <w:t>442</w:t>
      </w:r>
      <w:r w:rsidRPr="005C3F49">
        <w:rPr>
          <w:kern w:val="24"/>
          <w:sz w:val="28"/>
          <w:szCs w:val="28"/>
        </w:rPr>
        <w:t xml:space="preserve"> </w:t>
      </w:r>
      <w:r w:rsidR="004C3592" w:rsidRPr="005C3F49">
        <w:rPr>
          <w:kern w:val="24"/>
          <w:sz w:val="28"/>
          <w:szCs w:val="28"/>
        </w:rPr>
        <w:t>тыс</w:t>
      </w:r>
      <w:r w:rsidRPr="005C3F49">
        <w:rPr>
          <w:kern w:val="24"/>
          <w:sz w:val="28"/>
          <w:szCs w:val="28"/>
        </w:rPr>
        <w:t xml:space="preserve">. рублей. Заемные средства </w:t>
      </w:r>
      <w:r w:rsidR="004C3592" w:rsidRPr="005C3F49">
        <w:rPr>
          <w:kern w:val="24"/>
          <w:sz w:val="28"/>
          <w:szCs w:val="28"/>
        </w:rPr>
        <w:br/>
      </w:r>
      <w:r w:rsidRPr="005C3F49">
        <w:rPr>
          <w:kern w:val="24"/>
          <w:sz w:val="28"/>
          <w:szCs w:val="28"/>
        </w:rPr>
        <w:t>в 202</w:t>
      </w:r>
      <w:r w:rsidR="004C3592" w:rsidRPr="005C3F49">
        <w:rPr>
          <w:kern w:val="24"/>
          <w:sz w:val="28"/>
          <w:szCs w:val="28"/>
        </w:rPr>
        <w:t>5</w:t>
      </w:r>
      <w:r w:rsidRPr="005C3F49">
        <w:rPr>
          <w:kern w:val="24"/>
          <w:sz w:val="28"/>
          <w:szCs w:val="28"/>
        </w:rPr>
        <w:t xml:space="preserve"> году не привлекались.</w:t>
      </w:r>
    </w:p>
    <w:p w:rsidR="00B144EB" w:rsidRPr="005C3F49" w:rsidRDefault="00B144EB" w:rsidP="00B144EB">
      <w:pPr>
        <w:rPr>
          <w:rFonts w:eastAsia="Calibri"/>
          <w:sz w:val="28"/>
          <w:szCs w:val="28"/>
        </w:rPr>
      </w:pPr>
      <w:r w:rsidRPr="005C3F49">
        <w:rPr>
          <w:rFonts w:eastAsia="Calibri"/>
          <w:sz w:val="28"/>
          <w:szCs w:val="28"/>
        </w:rPr>
        <w:t>На протяжении 202</w:t>
      </w:r>
      <w:r w:rsidR="004C3592" w:rsidRPr="005C3F49">
        <w:rPr>
          <w:rFonts w:eastAsia="Calibri"/>
          <w:sz w:val="28"/>
          <w:szCs w:val="28"/>
        </w:rPr>
        <w:t>5</w:t>
      </w:r>
      <w:r w:rsidRPr="005C3F49">
        <w:rPr>
          <w:rFonts w:eastAsia="Calibri"/>
          <w:sz w:val="28"/>
          <w:szCs w:val="28"/>
        </w:rPr>
        <w:t xml:space="preserve"> года бюджет города был сбалансирован, </w:t>
      </w:r>
      <w:r w:rsidR="004C3592" w:rsidRPr="005C3F49">
        <w:rPr>
          <w:rFonts w:eastAsia="Calibri"/>
          <w:sz w:val="28"/>
          <w:szCs w:val="28"/>
        </w:rPr>
        <w:t xml:space="preserve">временные </w:t>
      </w:r>
      <w:r w:rsidRPr="005C3F49">
        <w:rPr>
          <w:rFonts w:eastAsia="Calibri"/>
          <w:sz w:val="28"/>
          <w:szCs w:val="28"/>
        </w:rPr>
        <w:t>кассовые разрывы отсутствовали</w:t>
      </w:r>
      <w:r w:rsidRPr="005C3F49">
        <w:rPr>
          <w:sz w:val="28"/>
          <w:szCs w:val="28"/>
          <w:lang w:eastAsia="ar-SA"/>
        </w:rPr>
        <w:t xml:space="preserve">. </w:t>
      </w:r>
      <w:r w:rsidRPr="005C3F49">
        <w:rPr>
          <w:rFonts w:eastAsia="Calibri"/>
          <w:sz w:val="28"/>
          <w:szCs w:val="28"/>
        </w:rPr>
        <w:t xml:space="preserve">Заявляемый главными распорядителями средств бюджета города объем на оплату расходных обязательств был полностью обеспечен финансовыми средствами. </w:t>
      </w:r>
    </w:p>
    <w:p w:rsidR="008273E3" w:rsidRPr="005C3F49" w:rsidRDefault="008273E3" w:rsidP="00B144EB">
      <w:pPr>
        <w:pStyle w:val="a3"/>
        <w:tabs>
          <w:tab w:val="left" w:pos="709"/>
        </w:tabs>
        <w:ind w:left="0"/>
        <w:rPr>
          <w:b/>
          <w:bCs/>
          <w:sz w:val="28"/>
          <w:szCs w:val="28"/>
        </w:rPr>
      </w:pPr>
      <w:r w:rsidRPr="005C3F49">
        <w:rPr>
          <w:sz w:val="28"/>
          <w:szCs w:val="28"/>
        </w:rPr>
        <w:t>В соответствии с установленным</w:t>
      </w:r>
      <w:r w:rsidR="00D476A9" w:rsidRPr="005C3F49">
        <w:rPr>
          <w:sz w:val="28"/>
          <w:szCs w:val="28"/>
        </w:rPr>
        <w:t xml:space="preserve">и требованиями </w:t>
      </w:r>
      <w:r w:rsidR="00B144EB" w:rsidRPr="005C3F49">
        <w:rPr>
          <w:sz w:val="28"/>
          <w:szCs w:val="28"/>
        </w:rPr>
        <w:t>1</w:t>
      </w:r>
      <w:r w:rsidR="004C3592" w:rsidRPr="005C3F49">
        <w:rPr>
          <w:sz w:val="28"/>
          <w:szCs w:val="28"/>
        </w:rPr>
        <w:t>0</w:t>
      </w:r>
      <w:r w:rsidR="00A320BD" w:rsidRPr="005C3F49">
        <w:rPr>
          <w:sz w:val="28"/>
          <w:szCs w:val="28"/>
        </w:rPr>
        <w:t xml:space="preserve"> апреля </w:t>
      </w:r>
      <w:r w:rsidRPr="005C3F49">
        <w:rPr>
          <w:sz w:val="28"/>
          <w:szCs w:val="28"/>
        </w:rPr>
        <w:t>202</w:t>
      </w:r>
      <w:r w:rsidR="004C3592" w:rsidRPr="005C3F49">
        <w:rPr>
          <w:sz w:val="28"/>
          <w:szCs w:val="28"/>
        </w:rPr>
        <w:t>6</w:t>
      </w:r>
      <w:r w:rsidRPr="005C3F49">
        <w:rPr>
          <w:bCs/>
          <w:sz w:val="28"/>
          <w:szCs w:val="28"/>
        </w:rPr>
        <w:t xml:space="preserve"> </w:t>
      </w:r>
      <w:r w:rsidR="00A320BD" w:rsidRPr="005C3F49">
        <w:rPr>
          <w:bCs/>
          <w:sz w:val="28"/>
          <w:szCs w:val="28"/>
        </w:rPr>
        <w:t xml:space="preserve">года </w:t>
      </w:r>
      <w:r w:rsidR="00A320BD" w:rsidRPr="005C3F49">
        <w:rPr>
          <w:bCs/>
          <w:sz w:val="28"/>
          <w:szCs w:val="28"/>
        </w:rPr>
        <w:br/>
      </w:r>
      <w:r w:rsidRPr="005C3F49">
        <w:rPr>
          <w:bCs/>
          <w:sz w:val="28"/>
          <w:szCs w:val="28"/>
        </w:rPr>
        <w:t xml:space="preserve">в здании </w:t>
      </w:r>
      <w:r w:rsidR="00D476A9" w:rsidRPr="005C3F49">
        <w:rPr>
          <w:bCs/>
          <w:sz w:val="28"/>
          <w:szCs w:val="28"/>
        </w:rPr>
        <w:t xml:space="preserve">Центральной </w:t>
      </w:r>
      <w:r w:rsidRPr="005C3F49">
        <w:rPr>
          <w:bCs/>
          <w:sz w:val="28"/>
          <w:szCs w:val="28"/>
        </w:rPr>
        <w:t xml:space="preserve">городской библиотеки </w:t>
      </w:r>
      <w:r w:rsidR="00D476A9" w:rsidRPr="005C3F49">
        <w:rPr>
          <w:sz w:val="28"/>
          <w:szCs w:val="28"/>
        </w:rPr>
        <w:t xml:space="preserve">имени М.К. Анисимковой муниципального бюджетного учреждения "Библиотечно-информационная система", расположенной по адресу: город Нижневартовск, улица Дружбы Народов, 22, </w:t>
      </w:r>
      <w:r w:rsidR="00D476A9" w:rsidRPr="005C3F49">
        <w:rPr>
          <w:bCs/>
          <w:sz w:val="28"/>
          <w:szCs w:val="28"/>
        </w:rPr>
        <w:t>будут проведены</w:t>
      </w:r>
      <w:r w:rsidRPr="005C3F49">
        <w:rPr>
          <w:bCs/>
          <w:sz w:val="28"/>
          <w:szCs w:val="28"/>
        </w:rPr>
        <w:t xml:space="preserve"> </w:t>
      </w:r>
      <w:r w:rsidRPr="005C3F49">
        <w:rPr>
          <w:sz w:val="28"/>
          <w:szCs w:val="28"/>
        </w:rPr>
        <w:t xml:space="preserve">публичные слушания по проекту решения Думы города </w:t>
      </w:r>
      <w:r w:rsidR="00B144EB" w:rsidRPr="005C3F49">
        <w:rPr>
          <w:sz w:val="28"/>
          <w:szCs w:val="28"/>
        </w:rPr>
        <w:t xml:space="preserve">Нижневартовска </w:t>
      </w:r>
      <w:r w:rsidRPr="005C3F49">
        <w:rPr>
          <w:bCs/>
          <w:sz w:val="28"/>
          <w:szCs w:val="28"/>
        </w:rPr>
        <w:t>"</w:t>
      </w:r>
      <w:r w:rsidRPr="005C3F49">
        <w:rPr>
          <w:sz w:val="28"/>
          <w:szCs w:val="28"/>
          <w:lang w:eastAsia="ru-RU"/>
        </w:rPr>
        <w:t xml:space="preserve">Об исполнении бюджета города Нижневартовска </w:t>
      </w:r>
      <w:r w:rsidR="00B144EB" w:rsidRPr="005C3F49">
        <w:rPr>
          <w:sz w:val="28"/>
          <w:szCs w:val="28"/>
          <w:lang w:eastAsia="ru-RU"/>
        </w:rPr>
        <w:br/>
      </w:r>
      <w:r w:rsidRPr="005C3F49">
        <w:rPr>
          <w:sz w:val="28"/>
          <w:szCs w:val="28"/>
          <w:lang w:eastAsia="ru-RU"/>
        </w:rPr>
        <w:t>за 202</w:t>
      </w:r>
      <w:r w:rsidR="004C3592" w:rsidRPr="005C3F49">
        <w:rPr>
          <w:sz w:val="28"/>
          <w:szCs w:val="28"/>
          <w:lang w:eastAsia="ru-RU"/>
        </w:rPr>
        <w:t>5</w:t>
      </w:r>
      <w:r w:rsidRPr="005C3F49">
        <w:rPr>
          <w:sz w:val="28"/>
          <w:szCs w:val="28"/>
          <w:lang w:eastAsia="ru-RU"/>
        </w:rPr>
        <w:t xml:space="preserve"> год"</w:t>
      </w:r>
      <w:r w:rsidRPr="005C3F49">
        <w:rPr>
          <w:bCs/>
          <w:sz w:val="28"/>
          <w:szCs w:val="28"/>
        </w:rPr>
        <w:t>.</w:t>
      </w:r>
    </w:p>
    <w:p w:rsidR="004D0811" w:rsidRPr="005C3F49" w:rsidRDefault="00C76B5B" w:rsidP="00A320BD">
      <w:pPr>
        <w:spacing w:before="240" w:after="120"/>
        <w:rPr>
          <w:b/>
          <w:sz w:val="28"/>
          <w:szCs w:val="28"/>
        </w:rPr>
      </w:pPr>
      <w:r w:rsidRPr="005C3F49">
        <w:rPr>
          <w:b/>
          <w:sz w:val="28"/>
          <w:szCs w:val="28"/>
        </w:rPr>
        <w:t>Р</w:t>
      </w:r>
      <w:r w:rsidR="00446D6C" w:rsidRPr="005C3F49">
        <w:rPr>
          <w:b/>
          <w:sz w:val="28"/>
          <w:szCs w:val="28"/>
        </w:rPr>
        <w:t>ешили</w:t>
      </w:r>
      <w:r w:rsidR="004D0811" w:rsidRPr="005C3F49">
        <w:rPr>
          <w:b/>
          <w:sz w:val="28"/>
          <w:szCs w:val="28"/>
        </w:rPr>
        <w:t>:</w:t>
      </w:r>
    </w:p>
    <w:p w:rsidR="00D476A9" w:rsidRPr="005C3F49" w:rsidRDefault="008273E3" w:rsidP="00D476A9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5C3F49">
        <w:rPr>
          <w:sz w:val="28"/>
          <w:szCs w:val="28"/>
        </w:rPr>
        <w:t xml:space="preserve">Принять к сведению </w:t>
      </w:r>
      <w:r w:rsidR="00D476A9" w:rsidRPr="005C3F49">
        <w:rPr>
          <w:sz w:val="28"/>
          <w:szCs w:val="28"/>
        </w:rPr>
        <w:t xml:space="preserve">информацию о проекте решения Думы города Нижневартовска "Об исполнении бюджета города Нижневартовска </w:t>
      </w:r>
      <w:r w:rsidR="00235CC4" w:rsidRPr="005C3F49">
        <w:rPr>
          <w:sz w:val="28"/>
          <w:szCs w:val="28"/>
        </w:rPr>
        <w:br/>
      </w:r>
      <w:r w:rsidR="00D476A9" w:rsidRPr="005C3F49">
        <w:rPr>
          <w:sz w:val="28"/>
          <w:szCs w:val="28"/>
        </w:rPr>
        <w:t>за 202</w:t>
      </w:r>
      <w:r w:rsidR="001C3B0F" w:rsidRPr="005C3F49">
        <w:rPr>
          <w:sz w:val="28"/>
          <w:szCs w:val="28"/>
        </w:rPr>
        <w:t>5</w:t>
      </w:r>
      <w:r w:rsidR="00D476A9" w:rsidRPr="005C3F49">
        <w:rPr>
          <w:sz w:val="28"/>
          <w:szCs w:val="28"/>
        </w:rPr>
        <w:t xml:space="preserve"> год".</w:t>
      </w:r>
    </w:p>
    <w:p w:rsidR="00EE5149" w:rsidRPr="005C3F49" w:rsidRDefault="00EE5149" w:rsidP="00C76B5B">
      <w:pPr>
        <w:ind w:firstLine="0"/>
        <w:rPr>
          <w:sz w:val="28"/>
          <w:szCs w:val="28"/>
        </w:rPr>
      </w:pPr>
    </w:p>
    <w:p w:rsidR="00611D3E" w:rsidRPr="005C3F49" w:rsidRDefault="00611D3E" w:rsidP="00C76B5B">
      <w:pPr>
        <w:ind w:firstLine="0"/>
        <w:rPr>
          <w:sz w:val="28"/>
          <w:szCs w:val="28"/>
        </w:rPr>
      </w:pPr>
    </w:p>
    <w:p w:rsidR="00C76B5B" w:rsidRPr="005C3F49" w:rsidRDefault="00C76B5B" w:rsidP="00C76B5B">
      <w:pPr>
        <w:ind w:firstLine="0"/>
        <w:rPr>
          <w:sz w:val="28"/>
          <w:szCs w:val="28"/>
        </w:rPr>
      </w:pPr>
      <w:r w:rsidRPr="005C3F49">
        <w:rPr>
          <w:sz w:val="28"/>
          <w:szCs w:val="28"/>
        </w:rPr>
        <w:t xml:space="preserve">Председатель Общественного совета                    </w:t>
      </w:r>
      <w:r w:rsidR="00235CC4" w:rsidRPr="005C3F49">
        <w:rPr>
          <w:sz w:val="28"/>
          <w:szCs w:val="28"/>
        </w:rPr>
        <w:t xml:space="preserve">                    Л.Я. Ворфоломеева</w:t>
      </w:r>
    </w:p>
    <w:p w:rsidR="002051E8" w:rsidRPr="005C3F49" w:rsidRDefault="002051E8" w:rsidP="00C76B5B">
      <w:pPr>
        <w:ind w:firstLine="0"/>
        <w:rPr>
          <w:sz w:val="28"/>
          <w:szCs w:val="28"/>
        </w:rPr>
      </w:pPr>
    </w:p>
    <w:p w:rsidR="002051E8" w:rsidRPr="005C3F49" w:rsidRDefault="002051E8" w:rsidP="00C76B5B">
      <w:pPr>
        <w:ind w:firstLine="0"/>
        <w:rPr>
          <w:sz w:val="28"/>
          <w:szCs w:val="28"/>
        </w:rPr>
      </w:pPr>
      <w:r w:rsidRPr="005C3F49">
        <w:rPr>
          <w:sz w:val="28"/>
          <w:szCs w:val="28"/>
        </w:rPr>
        <w:t xml:space="preserve">Секретарь Общественного совета                                                    </w:t>
      </w:r>
      <w:r w:rsidR="00235CC4" w:rsidRPr="005C3F49">
        <w:rPr>
          <w:sz w:val="28"/>
          <w:szCs w:val="28"/>
        </w:rPr>
        <w:t>Д.А. Грицканюк</w:t>
      </w:r>
    </w:p>
    <w:p w:rsidR="003E1A4F" w:rsidRPr="005C3F49" w:rsidRDefault="003E1A4F" w:rsidP="00C76B5B">
      <w:pPr>
        <w:ind w:firstLine="0"/>
        <w:rPr>
          <w:sz w:val="28"/>
          <w:szCs w:val="28"/>
        </w:rPr>
      </w:pPr>
    </w:p>
    <w:sectPr w:rsidR="003E1A4F" w:rsidRPr="005C3F49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159">
          <w:rPr>
            <w:noProof/>
          </w:rPr>
          <w:t>2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915728"/>
    <w:multiLevelType w:val="hybridMultilevel"/>
    <w:tmpl w:val="2EA034C0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497C"/>
    <w:rsid w:val="00005B93"/>
    <w:rsid w:val="000436EB"/>
    <w:rsid w:val="00044830"/>
    <w:rsid w:val="00067AD2"/>
    <w:rsid w:val="000A0FF7"/>
    <w:rsid w:val="000C003A"/>
    <w:rsid w:val="000D613A"/>
    <w:rsid w:val="000F1B86"/>
    <w:rsid w:val="000F745D"/>
    <w:rsid w:val="001036E9"/>
    <w:rsid w:val="00152B34"/>
    <w:rsid w:val="0016197F"/>
    <w:rsid w:val="0016224D"/>
    <w:rsid w:val="00191720"/>
    <w:rsid w:val="001A3FE9"/>
    <w:rsid w:val="001B3A8B"/>
    <w:rsid w:val="001B7BC3"/>
    <w:rsid w:val="001C1B98"/>
    <w:rsid w:val="001C3B0F"/>
    <w:rsid w:val="001D48E6"/>
    <w:rsid w:val="002051E8"/>
    <w:rsid w:val="00235CC4"/>
    <w:rsid w:val="00235D06"/>
    <w:rsid w:val="002C478B"/>
    <w:rsid w:val="002C4934"/>
    <w:rsid w:val="002D2DBF"/>
    <w:rsid w:val="002E76E5"/>
    <w:rsid w:val="00302E63"/>
    <w:rsid w:val="00312159"/>
    <w:rsid w:val="00324767"/>
    <w:rsid w:val="003326C6"/>
    <w:rsid w:val="00354D03"/>
    <w:rsid w:val="00357204"/>
    <w:rsid w:val="003661D3"/>
    <w:rsid w:val="00370064"/>
    <w:rsid w:val="00373B21"/>
    <w:rsid w:val="00374D20"/>
    <w:rsid w:val="00377DE9"/>
    <w:rsid w:val="003918B0"/>
    <w:rsid w:val="003B3257"/>
    <w:rsid w:val="003D3A42"/>
    <w:rsid w:val="003E1A4F"/>
    <w:rsid w:val="00446D6C"/>
    <w:rsid w:val="0045296D"/>
    <w:rsid w:val="004658F4"/>
    <w:rsid w:val="004672FD"/>
    <w:rsid w:val="00473EC6"/>
    <w:rsid w:val="004A160B"/>
    <w:rsid w:val="004A5609"/>
    <w:rsid w:val="004C226A"/>
    <w:rsid w:val="004C3592"/>
    <w:rsid w:val="004D0811"/>
    <w:rsid w:val="004D3B9A"/>
    <w:rsid w:val="004D673F"/>
    <w:rsid w:val="004F18A5"/>
    <w:rsid w:val="004F1AD3"/>
    <w:rsid w:val="0050136F"/>
    <w:rsid w:val="0051368B"/>
    <w:rsid w:val="005350AC"/>
    <w:rsid w:val="005559B0"/>
    <w:rsid w:val="00577812"/>
    <w:rsid w:val="0057787D"/>
    <w:rsid w:val="00590F9F"/>
    <w:rsid w:val="00594879"/>
    <w:rsid w:val="005A0C19"/>
    <w:rsid w:val="005C3F49"/>
    <w:rsid w:val="005F223D"/>
    <w:rsid w:val="00611D3E"/>
    <w:rsid w:val="0063052F"/>
    <w:rsid w:val="006520D9"/>
    <w:rsid w:val="006651E9"/>
    <w:rsid w:val="00665650"/>
    <w:rsid w:val="006C35A9"/>
    <w:rsid w:val="006D249E"/>
    <w:rsid w:val="006E0274"/>
    <w:rsid w:val="006E09B7"/>
    <w:rsid w:val="007142CB"/>
    <w:rsid w:val="00770809"/>
    <w:rsid w:val="007A238B"/>
    <w:rsid w:val="007B081C"/>
    <w:rsid w:val="00823E97"/>
    <w:rsid w:val="008273E3"/>
    <w:rsid w:val="00834F5C"/>
    <w:rsid w:val="008404CD"/>
    <w:rsid w:val="00840CC5"/>
    <w:rsid w:val="008424C8"/>
    <w:rsid w:val="008518A8"/>
    <w:rsid w:val="00856243"/>
    <w:rsid w:val="00857981"/>
    <w:rsid w:val="0087489D"/>
    <w:rsid w:val="008751A1"/>
    <w:rsid w:val="00892FA9"/>
    <w:rsid w:val="0089662F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6AF0"/>
    <w:rsid w:val="00962E32"/>
    <w:rsid w:val="009822B4"/>
    <w:rsid w:val="00990FD3"/>
    <w:rsid w:val="00993777"/>
    <w:rsid w:val="009A478B"/>
    <w:rsid w:val="009B0849"/>
    <w:rsid w:val="009E4002"/>
    <w:rsid w:val="009F73CE"/>
    <w:rsid w:val="00A05A52"/>
    <w:rsid w:val="00A139AE"/>
    <w:rsid w:val="00A14B75"/>
    <w:rsid w:val="00A320BD"/>
    <w:rsid w:val="00A54AD2"/>
    <w:rsid w:val="00A61A6F"/>
    <w:rsid w:val="00A64BDA"/>
    <w:rsid w:val="00A71B57"/>
    <w:rsid w:val="00A73CC0"/>
    <w:rsid w:val="00A95B2D"/>
    <w:rsid w:val="00A9662C"/>
    <w:rsid w:val="00AA6128"/>
    <w:rsid w:val="00AC1CA4"/>
    <w:rsid w:val="00AF1D53"/>
    <w:rsid w:val="00B13899"/>
    <w:rsid w:val="00B144EB"/>
    <w:rsid w:val="00B146CA"/>
    <w:rsid w:val="00B32FA1"/>
    <w:rsid w:val="00B4749D"/>
    <w:rsid w:val="00B56DD6"/>
    <w:rsid w:val="00B576AF"/>
    <w:rsid w:val="00B74C93"/>
    <w:rsid w:val="00B90845"/>
    <w:rsid w:val="00BA1DE8"/>
    <w:rsid w:val="00BB12A8"/>
    <w:rsid w:val="00BE4930"/>
    <w:rsid w:val="00C01353"/>
    <w:rsid w:val="00C05048"/>
    <w:rsid w:val="00C1511D"/>
    <w:rsid w:val="00C162A8"/>
    <w:rsid w:val="00C635DB"/>
    <w:rsid w:val="00C668D0"/>
    <w:rsid w:val="00C76B5B"/>
    <w:rsid w:val="00C90895"/>
    <w:rsid w:val="00C90D00"/>
    <w:rsid w:val="00CB062D"/>
    <w:rsid w:val="00CB7C53"/>
    <w:rsid w:val="00D01B4E"/>
    <w:rsid w:val="00D27835"/>
    <w:rsid w:val="00D476A9"/>
    <w:rsid w:val="00DA06B1"/>
    <w:rsid w:val="00DA261B"/>
    <w:rsid w:val="00DB1BDB"/>
    <w:rsid w:val="00DC3F47"/>
    <w:rsid w:val="00DF2E53"/>
    <w:rsid w:val="00E372AB"/>
    <w:rsid w:val="00E57F47"/>
    <w:rsid w:val="00E841B5"/>
    <w:rsid w:val="00E846E4"/>
    <w:rsid w:val="00E90A0F"/>
    <w:rsid w:val="00EB0C66"/>
    <w:rsid w:val="00EE5149"/>
    <w:rsid w:val="00EE667B"/>
    <w:rsid w:val="00F22300"/>
    <w:rsid w:val="00F66424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2EDA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character" w:styleId="ae">
    <w:name w:val="Hyperlink"/>
    <w:uiPriority w:val="99"/>
    <w:unhideWhenUsed/>
    <w:rsid w:val="00D01B4E"/>
    <w:rPr>
      <w:color w:val="0000FF"/>
      <w:u w:val="single"/>
    </w:rPr>
  </w:style>
  <w:style w:type="character" w:customStyle="1" w:styleId="FontStyle17">
    <w:name w:val="Font Style17"/>
    <w:uiPriority w:val="99"/>
    <w:rsid w:val="00377DE9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162A8"/>
    <w:pPr>
      <w:spacing w:after="120" w:line="480" w:lineRule="auto"/>
      <w:ind w:left="283"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2A8"/>
    <w:rPr>
      <w:rFonts w:ascii="Calibri" w:eastAsia="Times New Roman" w:hAnsi="Calibri" w:cs="Times New Roman"/>
      <w:lang w:eastAsia="ru-RU"/>
    </w:rPr>
  </w:style>
  <w:style w:type="paragraph" w:customStyle="1" w:styleId="af">
    <w:name w:val="Прижатый влево"/>
    <w:basedOn w:val="a"/>
    <w:next w:val="a"/>
    <w:rsid w:val="009F73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61</cp:revision>
  <cp:lastPrinted>2026-04-06T07:30:00Z</cp:lastPrinted>
  <dcterms:created xsi:type="dcterms:W3CDTF">2021-04-06T03:36:00Z</dcterms:created>
  <dcterms:modified xsi:type="dcterms:W3CDTF">2026-04-06T07:30:00Z</dcterms:modified>
</cp:coreProperties>
</file>