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40"/>
          <w:szCs w:val="40"/>
        </w:rPr>
        <w:t xml:space="preserve">_____________________________________________</w:t>
      </w:r>
      <w:r>
        <w:rPr>
          <w:rFonts w:ascii="Times New Roman" w:hAnsi="Times New Roman" w:cs="Times New Roman"/>
          <w:color w:val="000000"/>
          <w:sz w:val="32"/>
          <w:szCs w:val="32"/>
        </w:rPr>
      </w:r>
      <w:r/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40"/>
          <w:szCs w:val="40"/>
        </w:rPr>
        <w:br/>
      </w:r>
      <w:r>
        <w:rPr>
          <w:rFonts w:ascii="Times New Roman" w:hAnsi="Times New Roman" w:eastAsia="Arial" w:cs="Times New Roman"/>
          <w:b/>
          <w:bCs/>
          <w:color w:val="000000"/>
          <w:sz w:val="40"/>
          <w:szCs w:val="40"/>
        </w:rPr>
        <w:t xml:space="preserve">П Р О К У Р А Т У Р А</w:t>
        <w:br/>
      </w:r>
      <w:r>
        <w:rPr>
          <w:rFonts w:ascii="Times New Roman" w:hAnsi="Times New Roman" w:eastAsia="Arial" w:cs="Times New Roman"/>
          <w:b/>
          <w:bCs/>
          <w:color w:val="000000"/>
          <w:sz w:val="40"/>
          <w:szCs w:val="40"/>
        </w:rPr>
        <w:t xml:space="preserve">города Нижневартовска разъясняет </w:t>
      </w:r>
      <w:r>
        <w:rPr>
          <w:rFonts w:ascii="Times New Roman" w:hAnsi="Times New Roman" w:eastAsia="Arial" w:cs="Times New Roman"/>
          <w:b/>
          <w:bCs/>
          <w:color w:val="000000"/>
          <w:sz w:val="40"/>
          <w:szCs w:val="40"/>
        </w:rPr>
      </w:r>
      <w:r/>
    </w:p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40"/>
          <w:szCs w:val="40"/>
        </w:rPr>
        <w:t xml:space="preserve">_____________________________________________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  <w:r/>
    </w:p>
    <w:p>
      <w:pPr>
        <w:ind w:left="0" w:right="0" w:firstLine="0"/>
        <w:jc w:val="center"/>
        <w:spacing w:before="0" w:after="0"/>
        <w:rPr>
          <w:rFonts w:ascii="Arial" w:hAnsi="Arial" w:eastAsia="Arial" w:cs="Arial"/>
          <w:color w:val="000000"/>
          <w:sz w:val="35"/>
          <w:szCs w:val="3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br/>
      </w:r>
      <w:r>
        <w:rPr>
          <w:rFonts w:ascii="Times New Roman" w:hAnsi="Times New Roman" w:eastAsia="Arial" w:cs="Times New Roman"/>
          <w:b/>
          <w:bCs/>
          <w:color w:val="000000"/>
          <w:sz w:val="32"/>
          <w:szCs w:val="32"/>
        </w:rPr>
        <w:t xml:space="preserve">Уголовная ответственность за получение и дачу взятки</w:t>
      </w:r>
      <w:r>
        <w:rPr>
          <w:rFonts w:ascii="Arial" w:hAnsi="Arial" w:eastAsia="Arial" w:cs="Arial"/>
          <w:color w:val="000000"/>
          <w:sz w:val="35"/>
        </w:rPr>
        <w:br/>
      </w:r>
      <w:r>
        <w:rPr>
          <w:rFonts w:ascii="Arial" w:hAnsi="Arial" w:eastAsia="Arial" w:cs="Arial"/>
          <w:sz w:val="35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Уголовным законодательством Российской Федерации установлена ответственность за совершение коррупционных преступлений. Среди них наиболее распространенным и опасным является взяточничество. Оно посягает 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на</w:t>
        <w:br/>
        <w:t xml:space="preserve">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ных и коллективных интересов</w:t>
        <w:br/>
        <w:t xml:space="preserve">путем подкупа должностных лиц, препятствует конкуренции, затрудняет экономическое развитие.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Уголовная ответственность за взяточничество (получение и дача взятки)предусмотрена статьями 290 и 291 Уголовного кодекса Российской Фе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дерации.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Под взяткой понимается получение должностным лицом, лично или через посредника денег, либо иных имущественных благ за совершение действий (бездействия) в пользу взяткодателя или представляемых им лиц, если такие действия (бездействие) входят в слу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жебные полномочия должностного лица либо</w:t>
        <w:br/>
        <w:t xml:space="preserve">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Санкцией статьи 290 Уголовного кодекса Российской Федерации 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предусмотрен ряд наказаний за получение взятки, начиная от штрафа в размере до одного миллиона рублей до лишения свободы на срок до 3 лет. 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При этом, наказание ужесточается при наличии квалифицирующих признаков, таких как получение взятки в значительном раз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мере, получение взятки за незаконные действия (бездействие), получение взятки чиновниками, занимающими государственные должности Российской Федерации, субъекта</w:t>
        <w:br/>
        <w:t xml:space="preserve">Российской Федерации, а равно главой органа местного самоуправления, либо получение взятки групп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ой лиц по предварительному сговору или организованной группой, с вымогательством взятки, либо в крупном или особо крупном размере (более одного миллиона рублей).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За совершение таких деяний может быть назначено более строгое наказание вплоть до лишения своб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оды на срок от восьми до пятнадцати лет со штрафом в размере семидесятикратной суммы взятки.</w:t>
        <w:br/>
        <w:tab/>
        <w:t xml:space="preserve">Суровое наказание предусмотрено законодателем и для взяткодателя. Дача взятки должностному лицу лично или через посредника карается наказанием в виде штрафа в разм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ере до пятисот тысяч рублей до лишения свободы на срок до двух лет.</w:t>
        <w:br/>
        <w:tab/>
        <w:t xml:space="preserve">При наличии квалифицирующих признаков: дача взятки в значительном размере, за совершение незаконных действий (бездействие), группой лиц по предварительному сговору или организованной групп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ой, в крупном размере либо</w:t>
        <w:br/>
        <w:t xml:space="preserve">в особо крупном размере наказание ужесточается вплоть до лишения свободы на</w:t>
      </w:r>
      <w:r>
        <w:t xml:space="preserve"> 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срок от восьми до пятнадцати лет со штрафом в размере до семидесятикратной суммы взятки.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Уголовно наказуемо и посредничество во взяточничестве, то есть непосредственная передача взятки по поручению взяткодателя или взяткополучателя либо иное способствовани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е взяткодателю и (или) взяткополучателю в достижении либо реализации соглашения между ними о получении и даче взятки в значительном размере, а также обещание или предложение посредничества во взяточничестве (ст. 291.1 УК РФ).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708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Необходимо отметить, что в соо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тветствии с примечаниями к статьям 291 и 291.1 Уголовного кодекса Российской Федерации, лицо, давшее взятку либо являющееся посредником во взяточничестве, освобождается от уголовной ответственности, если оно активно способствовало раскрытию и (или)</w:t>
        <w:br/>
        <w:t xml:space="preserve">расслед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</w: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__________________________________________________________</w:t>
      </w:r>
      <w:r>
        <w:rPr>
          <w:rFonts w:ascii="Times New Roman" w:hAnsi="Times New Roman" w:eastAsia="Arial" w:cs="Times New Roman"/>
          <w:color w:val="000000"/>
          <w:sz w:val="32"/>
          <w:szCs w:val="32"/>
        </w:rPr>
      </w:r>
      <w:r/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Arial" w:cs="Times New Roman"/>
          <w:color w:val="000000"/>
          <w:sz w:val="32"/>
          <w:szCs w:val="32"/>
          <w:highlight w:val="none"/>
        </w:rPr>
      </w:r>
      <w:r/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Arial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color w:val="000000"/>
          <w:sz w:val="32"/>
          <w:szCs w:val="32"/>
        </w:rPr>
        <w:t xml:space="preserve">Пресс-служба</w: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color w:val="000000"/>
          <w:sz w:val="32"/>
          <w:szCs w:val="32"/>
          <w:highlight w:val="none"/>
        </w:rPr>
        <w:t xml:space="preserve">Прокуратуры г. Нижневартовска </w:t>
      </w:r>
      <w:r>
        <w:rPr>
          <w:rFonts w:ascii="Times New Roman" w:hAnsi="Times New Roman" w:eastAsia="Arial" w:cs="Times New Roman"/>
          <w:color w:val="000000"/>
          <w:sz w:val="32"/>
          <w:szCs w:val="32"/>
          <w:highlight w:val="none"/>
        </w:rPr>
      </w:r>
      <w:r/>
    </w:p>
    <w:sectPr>
      <w:footnotePr/>
      <w:endnotePr/>
      <w:type w:val="nextPage"/>
      <w:pgSz w:w="11906" w:h="16838" w:orient="portrait"/>
      <w:pgMar w:top="851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2024-07-01T06:56:54Z</dcterms:modified>
</cp:coreProperties>
</file>