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F9" w:rsidRDefault="00B45BF9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BF9" w:rsidRDefault="00B45BF9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ФОРМА СОГЛАШЕНИЯ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взаимодействии между администрацией города Нижневартовска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и организациями, представляющими интересы предпринимательского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инвестиционного сообщества, при оценке регулирующего воздействия </w:t>
      </w:r>
    </w:p>
    <w:p w:rsidR="0080097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проектов муниципальных нормативны</w:t>
      </w:r>
      <w:r w:rsidR="00497A6A">
        <w:rPr>
          <w:rFonts w:ascii="Times New Roman" w:hAnsi="Times New Roman"/>
          <w:b/>
          <w:sz w:val="28"/>
          <w:szCs w:val="28"/>
        </w:rPr>
        <w:t xml:space="preserve">х правовых актов, </w:t>
      </w:r>
    </w:p>
    <w:p w:rsidR="0005694B" w:rsidRPr="0005694B" w:rsidRDefault="00497A6A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экспертизе 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муниципальных нормативных правовых актов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4E226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Администрация города Нижневартовска (далее – Администрация) в лице 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(должность, фамилия, имя и отчество)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действующего на основании ___________________________________________,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(документ, устанавливающий полномочия)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с одной стороны, и ___________________________________________________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______________________________________________ (далее - ______________)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организации, представляющей интересы предпринимательского 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и инвестиционного сообщества)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в лице ______________________________________________________________,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(должность, фамилия, имя и отчество представит</w:t>
      </w:r>
      <w:r w:rsidR="00497A6A">
        <w:rPr>
          <w:rFonts w:ascii="Times New Roman" w:hAnsi="Times New Roman"/>
          <w:i/>
          <w:sz w:val="20"/>
          <w:szCs w:val="20"/>
        </w:rPr>
        <w:t>еля организации, представляющей</w:t>
      </w:r>
      <w:r w:rsidRPr="0005694B">
        <w:rPr>
          <w:rFonts w:ascii="Times New Roman" w:hAnsi="Times New Roman"/>
          <w:i/>
          <w:sz w:val="20"/>
          <w:szCs w:val="20"/>
        </w:rPr>
        <w:t xml:space="preserve"> 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интересы предпринимательского и инвестиционного сообщества)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действующего на основании ___________________________________________,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(документ, устанавливающий полномочия)</w:t>
      </w:r>
    </w:p>
    <w:p w:rsidR="0005694B" w:rsidRPr="0005694B" w:rsidRDefault="0005694B" w:rsidP="0005694B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с другой стороны, именуемые совместно Стороны, заключили настоящее      Соглашение о нижеследующем: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Предмет Соглашения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5B4E5B" w:rsidRDefault="0005694B" w:rsidP="005B4E5B">
      <w:pPr>
        <w:pStyle w:val="ConsPlusNormal"/>
        <w:ind w:firstLine="540"/>
        <w:jc w:val="both"/>
      </w:pPr>
      <w:r w:rsidRPr="0005694B">
        <w:rPr>
          <w:rFonts w:ascii="Times New Roman" w:hAnsi="Times New Roman"/>
          <w:sz w:val="28"/>
          <w:szCs w:val="28"/>
        </w:rPr>
        <w:t>1.1. Предметом настоящего Соглашения является взаимодействие Сторон в целях обеспечения информационно-аналитическо</w:t>
      </w:r>
      <w:r w:rsidR="0080097B">
        <w:rPr>
          <w:rFonts w:ascii="Times New Roman" w:hAnsi="Times New Roman"/>
          <w:sz w:val="28"/>
          <w:szCs w:val="28"/>
        </w:rPr>
        <w:t>й поддержки проведения процедур</w:t>
      </w:r>
      <w:r w:rsidRPr="0005694B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</w:t>
      </w:r>
      <w:r w:rsidR="005B4E5B" w:rsidRPr="005B4E5B">
        <w:rPr>
          <w:rFonts w:ascii="Times New Roman" w:hAnsi="Times New Roman"/>
          <w:sz w:val="28"/>
          <w:szCs w:val="28"/>
        </w:rPr>
        <w:t>и иной экономической деятельности, инвестиционной деятельности.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1.2. Ответственными по настоящему Соглашению со стороны Администрации являются структурные подразделения администрации города, являющиеся разработчиками проектов муниципальных нормативных правовых актов, муниципальных нормативных правовых актов.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>. Обязанности Сторон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94B">
        <w:rPr>
          <w:rFonts w:ascii="Times New Roman" w:hAnsi="Times New Roman"/>
          <w:sz w:val="28"/>
          <w:szCs w:val="28"/>
        </w:rPr>
        <w:t xml:space="preserve">2.1. Администрация в лице структурных подразделений администрации города, являющихся разработчиками проектов муниципальных нормативных правовых актов, муниципальных нормативных правовых актов: 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- обеспечивает направление ув</w:t>
      </w:r>
      <w:r w:rsidR="00497A6A">
        <w:rPr>
          <w:rFonts w:ascii="Times New Roman" w:hAnsi="Times New Roman"/>
          <w:sz w:val="28"/>
          <w:szCs w:val="28"/>
        </w:rPr>
        <w:t>едомления о проведении публичных</w:t>
      </w:r>
      <w:r w:rsidRPr="0005694B">
        <w:rPr>
          <w:rFonts w:ascii="Times New Roman" w:hAnsi="Times New Roman"/>
          <w:sz w:val="28"/>
          <w:szCs w:val="28"/>
        </w:rPr>
        <w:t xml:space="preserve"> консуль</w:t>
      </w:r>
      <w:r w:rsidR="00497A6A">
        <w:rPr>
          <w:rFonts w:ascii="Times New Roman" w:hAnsi="Times New Roman"/>
          <w:sz w:val="28"/>
          <w:szCs w:val="28"/>
        </w:rPr>
        <w:t>таций</w:t>
      </w:r>
      <w:r w:rsidRPr="0005694B">
        <w:rPr>
          <w:rFonts w:ascii="Times New Roman" w:hAnsi="Times New Roman"/>
          <w:sz w:val="28"/>
          <w:szCs w:val="28"/>
        </w:rPr>
        <w:t xml:space="preserve"> или опро</w:t>
      </w:r>
      <w:r w:rsidR="00497A6A">
        <w:rPr>
          <w:rFonts w:ascii="Times New Roman" w:hAnsi="Times New Roman"/>
          <w:sz w:val="28"/>
          <w:szCs w:val="28"/>
        </w:rPr>
        <w:t>сного листа участников публичных консультаций</w:t>
      </w:r>
      <w:r w:rsidRPr="0005694B">
        <w:rPr>
          <w:rFonts w:ascii="Times New Roman" w:hAnsi="Times New Roman"/>
          <w:sz w:val="28"/>
          <w:szCs w:val="28"/>
        </w:rPr>
        <w:t>, проекта муниципального нормативного правового акта, в отношении которого проводится оценка регулирующего воздействия, и пояснительной записки к нему или муниципального нормативного правового акта, в отношении которого прово</w:t>
      </w:r>
      <w:r w:rsidR="00497A6A">
        <w:rPr>
          <w:rFonts w:ascii="Times New Roman" w:hAnsi="Times New Roman"/>
          <w:sz w:val="28"/>
          <w:szCs w:val="28"/>
        </w:rPr>
        <w:t>дится экспертиза</w:t>
      </w:r>
      <w:r w:rsidR="00C834F9">
        <w:rPr>
          <w:rFonts w:ascii="Times New Roman" w:hAnsi="Times New Roman"/>
          <w:sz w:val="28"/>
          <w:szCs w:val="28"/>
        </w:rPr>
        <w:t>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- рассматривает предложения и замечания субъектов предпринимательской и инвестиционной деятельности относительно положений проекта муниципального нормативного правового акта, в отношении которого проводится оценка регулирующего воздействия, или муниципального нормативного правового акта, подлежащего экспертизе, результаты рассмотрения которых оформляет </w:t>
      </w:r>
      <w:r w:rsidR="002C004E">
        <w:rPr>
          <w:rFonts w:ascii="Times New Roman" w:hAnsi="Times New Roman"/>
          <w:sz w:val="28"/>
          <w:szCs w:val="28"/>
        </w:rPr>
        <w:t>сводкой</w:t>
      </w:r>
      <w:r w:rsidRPr="0005694B">
        <w:rPr>
          <w:rFonts w:ascii="Times New Roman" w:hAnsi="Times New Roman"/>
          <w:sz w:val="28"/>
          <w:szCs w:val="28"/>
        </w:rPr>
        <w:t xml:space="preserve"> предложений;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94B">
        <w:rPr>
          <w:rFonts w:ascii="Times New Roman" w:hAnsi="Times New Roman"/>
          <w:sz w:val="28"/>
          <w:szCs w:val="28"/>
        </w:rPr>
        <w:t>- определяет лиц, ответственных за взаимодействие между структурными подразд</w:t>
      </w:r>
      <w:r w:rsidR="00497A6A">
        <w:rPr>
          <w:rFonts w:ascii="Times New Roman" w:hAnsi="Times New Roman"/>
          <w:sz w:val="28"/>
          <w:szCs w:val="28"/>
        </w:rPr>
        <w:t xml:space="preserve">елениями администрации города, </w:t>
      </w:r>
      <w:r w:rsidRPr="0005694B">
        <w:rPr>
          <w:rFonts w:ascii="Times New Roman" w:hAnsi="Times New Roman"/>
          <w:sz w:val="28"/>
          <w:szCs w:val="28"/>
        </w:rPr>
        <w:t>являющимися разработчиками проектов муниципальных нормативных правовых актов, муниципальных нормативных правовых актов,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обеспечивает организационно-техническое сопровождение реализации настоящего Соглашения.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2.2. Организации, представляющие интересы предпринимательского         и инвестиционного сообщества:</w:t>
      </w:r>
    </w:p>
    <w:p w:rsidR="002B1B0E" w:rsidRDefault="002B1B0E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B0E">
        <w:rPr>
          <w:rFonts w:ascii="Times New Roman" w:hAnsi="Times New Roman"/>
          <w:sz w:val="28"/>
          <w:szCs w:val="28"/>
        </w:rPr>
        <w:t>- 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акта, в том числе посредством портала проектов (</w:t>
      </w:r>
      <w:hyperlink r:id="rId7" w:history="1">
        <w:r w:rsidRPr="00713BA7">
          <w:rPr>
            <w:rStyle w:val="ab"/>
            <w:rFonts w:ascii="Times New Roman" w:hAnsi="Times New Roman"/>
            <w:sz w:val="28"/>
            <w:szCs w:val="28"/>
          </w:rPr>
          <w:t>http://regulation.admhmao.ru</w:t>
        </w:r>
      </w:hyperlink>
      <w:r w:rsidRPr="002B1B0E">
        <w:rPr>
          <w:rFonts w:ascii="Times New Roman" w:hAnsi="Times New Roman"/>
          <w:sz w:val="28"/>
          <w:szCs w:val="28"/>
        </w:rPr>
        <w:t>);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организуют сбор информации по вопросам, поставленным в ходе проведения публичных консультаций, осуществляют анализ и обобщение указанной информации, формируют сводную позицию членов организаций, представляющих интересы предпринимательского и инвестиционного сообщества, относительно положений проекта муниципального нормативного правового акта или действующего муниципального нормативного правового акта;</w:t>
      </w:r>
    </w:p>
    <w:p w:rsidR="00E3069D" w:rsidRDefault="005B4E5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E5B">
        <w:rPr>
          <w:rFonts w:ascii="Times New Roman" w:hAnsi="Times New Roman"/>
          <w:sz w:val="28"/>
          <w:szCs w:val="28"/>
        </w:rPr>
        <w:t xml:space="preserve">направляют предложения и замечания о необходимости включения муниципальных нормативных правовых актов в ежегодный план проведения экспертизы муниципальных нормативных правовых актов, а также относительно положений муниципального нормативного правового акта, необоснованно затрудняющих осуществление предпринимательской и иной экономической деятельности, инвестиционной деятельности, положений проекта муниципального нормативного правового акта, которые вводят обязательные требования для субъектов предпринимательской и иной экономической деятельности, </w:t>
      </w:r>
      <w:r w:rsidRPr="005B4E5B">
        <w:rPr>
          <w:rFonts w:ascii="Times New Roman" w:hAnsi="Times New Roman"/>
          <w:sz w:val="28"/>
          <w:szCs w:val="28"/>
        </w:rPr>
        <w:lastRenderedPageBreak/>
        <w:t>обязанности для субъектов инвестиционной деятельности или способствуют их введению, а также способствуют возникновению необоснованных расходов указанных субъектов и бюджета города Нижневартовска;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определяют в целях проведения публичных консультаций работников, ответственных за организацию под</w:t>
      </w:r>
      <w:r w:rsidR="005B4E5B">
        <w:rPr>
          <w:rFonts w:ascii="Times New Roman" w:hAnsi="Times New Roman"/>
          <w:sz w:val="28"/>
          <w:szCs w:val="28"/>
        </w:rPr>
        <w:t>готовки предложений и замечаний</w:t>
      </w:r>
      <w:r w:rsidR="008A69C0">
        <w:rPr>
          <w:rFonts w:ascii="Times New Roman" w:hAnsi="Times New Roman"/>
          <w:sz w:val="28"/>
          <w:szCs w:val="28"/>
        </w:rPr>
        <w:t xml:space="preserve"> </w:t>
      </w:r>
      <w:r w:rsidRPr="0005694B">
        <w:rPr>
          <w:rFonts w:ascii="Times New Roman" w:hAnsi="Times New Roman"/>
          <w:sz w:val="28"/>
          <w:szCs w:val="28"/>
        </w:rPr>
        <w:t>по обсуждаемым положениям проектов</w:t>
      </w:r>
      <w:r w:rsidRPr="0005694B">
        <w:t xml:space="preserve"> </w:t>
      </w:r>
      <w:r w:rsidRPr="0005694B">
        <w:rPr>
          <w:rFonts w:ascii="Times New Roman" w:hAnsi="Times New Roman"/>
          <w:sz w:val="28"/>
          <w:szCs w:val="28"/>
        </w:rPr>
        <w:t>муниципальных нормативных правовых актов (муниципальных нормативных правовых актов), и направляют контактные данные указанных работников в структурные подразделения администрации города, являющиеся разработчиками проектов муниципальных нормативных правовых актов, муниципальных нормативных правовых актов;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- размещают на своих официальных сайтах в сети </w:t>
      </w:r>
      <w:r w:rsidR="002006D2">
        <w:rPr>
          <w:rFonts w:ascii="Times New Roman" w:hAnsi="Times New Roman"/>
          <w:sz w:val="28"/>
          <w:szCs w:val="28"/>
        </w:rPr>
        <w:t>"</w:t>
      </w:r>
      <w:r w:rsidRPr="0005694B">
        <w:rPr>
          <w:rFonts w:ascii="Times New Roman" w:hAnsi="Times New Roman"/>
          <w:sz w:val="28"/>
          <w:szCs w:val="28"/>
        </w:rPr>
        <w:t>Интернет</w:t>
      </w:r>
      <w:r w:rsidR="002006D2">
        <w:rPr>
          <w:rFonts w:ascii="Times New Roman" w:hAnsi="Times New Roman"/>
          <w:sz w:val="28"/>
          <w:szCs w:val="28"/>
        </w:rPr>
        <w:t>"</w:t>
      </w:r>
      <w:r w:rsidRPr="0005694B">
        <w:rPr>
          <w:rFonts w:ascii="Times New Roman" w:hAnsi="Times New Roman"/>
          <w:sz w:val="28"/>
          <w:szCs w:val="28"/>
        </w:rPr>
        <w:t xml:space="preserve"> информацию об оценке регулирующего воздействия проектов муниципальных нормативных правовых актов, экспертизе муниципальных нормативных правовых актов;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представляют предложения по вопросам проведения оценки регулирующего воздействия проектов муниципальн</w:t>
      </w:r>
      <w:r w:rsidR="001B33F0">
        <w:rPr>
          <w:rFonts w:ascii="Times New Roman" w:hAnsi="Times New Roman"/>
          <w:sz w:val="28"/>
          <w:szCs w:val="28"/>
        </w:rPr>
        <w:t xml:space="preserve">ых нормативных правовых актов, </w:t>
      </w:r>
      <w:r w:rsidRPr="0005694B">
        <w:rPr>
          <w:rFonts w:ascii="Times New Roman" w:hAnsi="Times New Roman"/>
          <w:sz w:val="28"/>
          <w:szCs w:val="28"/>
        </w:rPr>
        <w:t>экспертизы муниципальных нормативных правовых актов.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5694B">
        <w:rPr>
          <w:rFonts w:ascii="Times New Roman" w:hAnsi="Times New Roman"/>
          <w:b/>
          <w:sz w:val="28"/>
          <w:szCs w:val="28"/>
        </w:rPr>
        <w:t>. Права Сторон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3.1. Администрация в лице структурных подразделений администрации города, являющихся разработчиками проектов муниципальных нормативных правовых актов, муниципальных нормативных п</w:t>
      </w:r>
      <w:r w:rsidR="001B33F0">
        <w:rPr>
          <w:rFonts w:ascii="Times New Roman" w:hAnsi="Times New Roman"/>
          <w:sz w:val="28"/>
          <w:szCs w:val="28"/>
        </w:rPr>
        <w:t>равовых актов, вправе:</w:t>
      </w:r>
    </w:p>
    <w:p w:rsidR="00A514B1" w:rsidRDefault="00A514B1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1">
        <w:rPr>
          <w:rFonts w:ascii="Times New Roman" w:hAnsi="Times New Roman"/>
          <w:sz w:val="28"/>
          <w:szCs w:val="28"/>
        </w:rPr>
        <w:t>- направлять запросы в организации, представляющие интересы предпринимательского и инвестиционного сообщества, о представлении информационно-аналитических материалов, в том числе сведений о стандартных издержках субъектов предпринимательской и иной экономической деятельности, инвестиционной деятельности на соблюдение требований законодательства, сведений о развитии предпринимательской и иной экономической деятельности, инвестиционной деятельности в отдельных отраслях, о качественном и количественном составе субъектов предпринимательской и иной экономической деятельности, инвестиционной деятельности в отдельных отраслях, иных сведений, необходимых для оценки регулирующего воздействия проектов муниципальных нормативных правовых актов, экспертизы муниципальных нормативных правовых актов;</w:t>
      </w:r>
    </w:p>
    <w:p w:rsidR="00A514B1" w:rsidRPr="00A514B1" w:rsidRDefault="00A514B1" w:rsidP="00A514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1">
        <w:rPr>
          <w:rFonts w:ascii="Times New Roman" w:hAnsi="Times New Roman"/>
          <w:sz w:val="28"/>
          <w:szCs w:val="28"/>
        </w:rPr>
        <w:t>- запрашивать у организаций, представляющих интересы предпринимательского и инвестиционного сообщества, предложения, необходимые для формирования планов проведения экспертизы муниципальных нормативных правовых актов;</w:t>
      </w:r>
    </w:p>
    <w:p w:rsidR="00A514B1" w:rsidRDefault="00A514B1" w:rsidP="00A514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1">
        <w:rPr>
          <w:rFonts w:ascii="Times New Roman" w:hAnsi="Times New Roman"/>
          <w:sz w:val="28"/>
          <w:szCs w:val="28"/>
        </w:rPr>
        <w:t xml:space="preserve">- направлять своих представителей для участия в совещаниях, "круглых столах" и иных мероприятиях, проводимых организациями, представляющими интересы предпринимательского и инвестиционного сообщества, и </w:t>
      </w:r>
      <w:r w:rsidRPr="00A514B1">
        <w:rPr>
          <w:rFonts w:ascii="Times New Roman" w:hAnsi="Times New Roman"/>
          <w:sz w:val="28"/>
          <w:szCs w:val="28"/>
        </w:rPr>
        <w:lastRenderedPageBreak/>
        <w:t>направленных на активное привлечение субъектов предпринимательской и иной экономической деятельности, инвестиционной деятельности к участию в публичных консультациях, разъяснение ключевых вопросов функционирования института оценки регулирующего воздействия проектов муниципальных нормативных правовых актов в Администрации.</w:t>
      </w:r>
    </w:p>
    <w:p w:rsidR="0005694B" w:rsidRPr="0005694B" w:rsidRDefault="0005694B" w:rsidP="00A514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3.2. Организации, представляющие интересы предпринимательского         и инвестиционного сообщества, вправе:</w:t>
      </w:r>
    </w:p>
    <w:p w:rsidR="00A514B1" w:rsidRPr="00A514B1" w:rsidRDefault="00A514B1" w:rsidP="00A514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1">
        <w:rPr>
          <w:rFonts w:ascii="Times New Roman" w:hAnsi="Times New Roman"/>
          <w:sz w:val="28"/>
          <w:szCs w:val="28"/>
        </w:rPr>
        <w:t>- направлять в структурные подразделения администрации города, являющиеся разработчиками проектов муниципальных нормативных правовых актов, муниципальных нормативных правовых актов, предложения и замечания субъектов предпринимательской и иной экономической деятельности, инвестиционной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актов, а также относительно положений проекта муниципального нормативного правового акта, подлежащего оценке регулирующего воздействия, или действующего муниципального нормативного правового акта, подлежащего экспертизе, и предложения по совершенствованию института оценки регулирующего воздействия проектов муниципальны</w:t>
      </w:r>
      <w:r>
        <w:rPr>
          <w:rFonts w:ascii="Times New Roman" w:hAnsi="Times New Roman"/>
          <w:sz w:val="28"/>
          <w:szCs w:val="28"/>
        </w:rPr>
        <w:t xml:space="preserve">х нормативных правовых актов в </w:t>
      </w:r>
      <w:r w:rsidR="00D56E7A">
        <w:rPr>
          <w:rFonts w:ascii="Times New Roman" w:hAnsi="Times New Roman"/>
          <w:sz w:val="28"/>
          <w:szCs w:val="28"/>
        </w:rPr>
        <w:t>А</w:t>
      </w:r>
      <w:r w:rsidRPr="00A514B1">
        <w:rPr>
          <w:rFonts w:ascii="Times New Roman" w:hAnsi="Times New Roman"/>
          <w:sz w:val="28"/>
          <w:szCs w:val="28"/>
        </w:rPr>
        <w:t>дминистрации;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запраши</w:t>
      </w:r>
      <w:r w:rsidR="00246129">
        <w:rPr>
          <w:rFonts w:ascii="Times New Roman" w:hAnsi="Times New Roman"/>
          <w:sz w:val="28"/>
          <w:szCs w:val="28"/>
        </w:rPr>
        <w:t>вать в структурных подразделениях</w:t>
      </w:r>
      <w:r w:rsidRPr="0005694B">
        <w:rPr>
          <w:rFonts w:ascii="Times New Roman" w:hAnsi="Times New Roman"/>
          <w:sz w:val="28"/>
          <w:szCs w:val="28"/>
        </w:rPr>
        <w:t xml:space="preserve"> администрации города,      являющихся разработчиками проектов муниципальных нормативных правовых актов, муниципальных нормативных правовых актов, в электронной или        бумажной форме копии сводного </w:t>
      </w:r>
      <w:r w:rsidR="00246129">
        <w:rPr>
          <w:rFonts w:ascii="Times New Roman" w:hAnsi="Times New Roman"/>
          <w:sz w:val="28"/>
          <w:szCs w:val="28"/>
        </w:rPr>
        <w:t xml:space="preserve">отчета и заключения об оценке </w:t>
      </w:r>
      <w:r w:rsidRPr="0005694B">
        <w:rPr>
          <w:rFonts w:ascii="Times New Roman" w:hAnsi="Times New Roman"/>
          <w:sz w:val="28"/>
          <w:szCs w:val="28"/>
        </w:rPr>
        <w:t>регулирующего воздействия проекта муниципального нормативного правового акта, экспер</w:t>
      </w:r>
      <w:r w:rsidR="00246129">
        <w:rPr>
          <w:rFonts w:ascii="Times New Roman" w:hAnsi="Times New Roman"/>
          <w:sz w:val="28"/>
          <w:szCs w:val="28"/>
        </w:rPr>
        <w:t xml:space="preserve">тизе </w:t>
      </w: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по которому проводились публичные консультации, а также </w:t>
      </w:r>
      <w:r w:rsidR="00246129">
        <w:rPr>
          <w:rFonts w:ascii="Times New Roman" w:hAnsi="Times New Roman"/>
          <w:sz w:val="28"/>
          <w:szCs w:val="28"/>
        </w:rPr>
        <w:t>копии муниципальных нормативных правовых актов</w:t>
      </w:r>
      <w:r w:rsidRPr="0005694B">
        <w:rPr>
          <w:rFonts w:ascii="Times New Roman" w:hAnsi="Times New Roman"/>
          <w:sz w:val="28"/>
          <w:szCs w:val="28"/>
        </w:rPr>
        <w:t xml:space="preserve"> и методические документы по вопросам проведения оценки регулирующего воздействия проектов муниципальных нормативных правовых актов, экспертизы </w:t>
      </w:r>
      <w:bookmarkStart w:id="0" w:name="_GoBack"/>
      <w:bookmarkEnd w:id="0"/>
      <w:r w:rsidRPr="0005694B">
        <w:rPr>
          <w:rFonts w:ascii="Times New Roman" w:hAnsi="Times New Roman"/>
          <w:sz w:val="28"/>
          <w:szCs w:val="28"/>
        </w:rPr>
        <w:t>муниципальных нормативных правовых актов в Администрации, информационные материалы о деятельности структурных подразделений администрации города, являющихся разработчиками проектов муниципальных нормативных правовых актов, муниципальных нормативных правовых актов, по оценке регулирующего воздействия проектов муниципальных нормативных правовых актов, экспертизе и (или) оценке фактического воздействия муниципальных нормативных правовых актов;</w:t>
      </w:r>
    </w:p>
    <w:p w:rsidR="0005694B" w:rsidRPr="00D56E7A" w:rsidRDefault="00D56E7A" w:rsidP="00D56E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6E7A">
        <w:rPr>
          <w:rFonts w:ascii="Times New Roman" w:hAnsi="Times New Roman"/>
          <w:sz w:val="28"/>
          <w:szCs w:val="28"/>
        </w:rPr>
        <w:t xml:space="preserve">принимать участие в совещаниях, "круглых столах" и иных мероприятиях, проводимых структурными подразделениями администрации города, являющимися разработчиками проектов муниципальных нормативных правовых актов, муниципальных нормативных правовых актов, и направленных на активное привлечение субъектов предпринимательской и иной экономической деятельности, инвестиционной деятельности к участию в </w:t>
      </w:r>
      <w:r w:rsidRPr="00D56E7A">
        <w:rPr>
          <w:rFonts w:ascii="Times New Roman" w:hAnsi="Times New Roman"/>
          <w:sz w:val="28"/>
          <w:szCs w:val="28"/>
        </w:rPr>
        <w:lastRenderedPageBreak/>
        <w:t>публичных консультациях, разъяснение ключевых вопросов функционирования института оценки регулирующего воздействия проектов муниципальных нормативны</w:t>
      </w:r>
      <w:r>
        <w:rPr>
          <w:rFonts w:ascii="Times New Roman" w:hAnsi="Times New Roman"/>
          <w:sz w:val="28"/>
          <w:szCs w:val="28"/>
        </w:rPr>
        <w:t>х правовых актов в А</w:t>
      </w:r>
      <w:r w:rsidRPr="00D56E7A">
        <w:rPr>
          <w:rFonts w:ascii="Times New Roman" w:hAnsi="Times New Roman"/>
          <w:sz w:val="28"/>
          <w:szCs w:val="28"/>
        </w:rPr>
        <w:t>дминистрации.</w:t>
      </w:r>
    </w:p>
    <w:p w:rsidR="002B1B0E" w:rsidRPr="00C834F9" w:rsidRDefault="002B1B0E" w:rsidP="000569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5694B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5694B" w:rsidRPr="0005694B" w:rsidRDefault="0005694B" w:rsidP="000569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4.1. Настоящее Соглашение заключается сроком на два года и вступает       в силу с даты его подписания.</w:t>
      </w:r>
    </w:p>
    <w:p w:rsidR="0005694B" w:rsidRPr="0005694B" w:rsidRDefault="00246129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</w:t>
      </w:r>
      <w:r w:rsidR="0005694B" w:rsidRPr="0005694B">
        <w:rPr>
          <w:rFonts w:ascii="Times New Roman" w:hAnsi="Times New Roman"/>
          <w:sz w:val="28"/>
          <w:szCs w:val="28"/>
        </w:rPr>
        <w:t>зменения настоящего Соглашения,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4.3. Споры и разногласия, возникающие при исполнении условий настоящего Соглашения, разрешаются путем переговоров.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4.4. Настоящее Соглашение может быть расторгнуто по инициативе </w:t>
      </w:r>
      <w:r w:rsidR="008A69C0">
        <w:rPr>
          <w:rFonts w:ascii="Times New Roman" w:hAnsi="Times New Roman"/>
          <w:sz w:val="28"/>
          <w:szCs w:val="28"/>
        </w:rPr>
        <w:t xml:space="preserve">          </w:t>
      </w:r>
      <w:r w:rsidRPr="0005694B">
        <w:rPr>
          <w:rFonts w:ascii="Times New Roman" w:hAnsi="Times New Roman"/>
          <w:sz w:val="28"/>
          <w:szCs w:val="28"/>
        </w:rPr>
        <w:t>любой из Сторон, при этом одна Сторона должна письменно уведомить другую Сторону не менее чем за три месяца до предполагаемой даты прекращения действия настоящего Соглашения.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4.5. Если по истечении срока действия настоящего Соглашения ни одна из Сторон не выразила желание прекратить взаимодействие, настоящее Соглашение считается пролонгированным на каждые последующие два года.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4.6. Настоящее Соглашение составлено в двух экземплярах, имеющих равную юридическую силу, по одному для каждой из Сторон.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tabs>
          <w:tab w:val="left" w:pos="1134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Подписи сторон: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05694B" w:rsidRPr="0005694B" w:rsidTr="00F70A79">
        <w:trPr>
          <w:jc w:val="center"/>
        </w:trPr>
        <w:tc>
          <w:tcPr>
            <w:tcW w:w="4821" w:type="dxa"/>
            <w:shd w:val="clear" w:color="auto" w:fill="auto"/>
          </w:tcPr>
          <w:p w:rsidR="0005694B" w:rsidRPr="0005694B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4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05694B" w:rsidRPr="0005694B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4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35" w:type="dxa"/>
            <w:shd w:val="clear" w:color="auto" w:fill="auto"/>
          </w:tcPr>
          <w:p w:rsidR="0005694B" w:rsidRPr="0005694B" w:rsidRDefault="0005694B" w:rsidP="00F70A79">
            <w:pPr>
              <w:spacing w:line="240" w:lineRule="auto"/>
              <w:ind w:left="-120"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4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:rsidR="0005694B" w:rsidRPr="0005694B" w:rsidRDefault="0005694B" w:rsidP="00F70A79">
            <w:pPr>
              <w:spacing w:line="240" w:lineRule="auto"/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4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5694B" w:rsidRPr="0005694B" w:rsidRDefault="0005694B" w:rsidP="000569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6E" w:rsidRDefault="002B176E" w:rsidP="00A14D14">
      <w:pPr>
        <w:spacing w:after="0" w:line="240" w:lineRule="auto"/>
      </w:pPr>
      <w:r>
        <w:separator/>
      </w:r>
    </w:p>
  </w:endnote>
  <w:endnote w:type="continuationSeparator" w:id="0">
    <w:p w:rsidR="002B176E" w:rsidRDefault="002B176E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6E" w:rsidRDefault="002B176E" w:rsidP="00A14D14">
      <w:pPr>
        <w:spacing w:after="0" w:line="240" w:lineRule="auto"/>
      </w:pPr>
      <w:r>
        <w:separator/>
      </w:r>
    </w:p>
  </w:footnote>
  <w:footnote w:type="continuationSeparator" w:id="0">
    <w:p w:rsidR="002B176E" w:rsidRDefault="002B176E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2C004E">
          <w:rPr>
            <w:rFonts w:ascii="Times New Roman" w:hAnsi="Times New Roman"/>
            <w:noProof/>
            <w:sz w:val="24"/>
            <w:szCs w:val="24"/>
          </w:rPr>
          <w:t>4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A3E02"/>
    <w:rsid w:val="000F25CE"/>
    <w:rsid w:val="001015BF"/>
    <w:rsid w:val="00115885"/>
    <w:rsid w:val="0015448F"/>
    <w:rsid w:val="001A02B5"/>
    <w:rsid w:val="001B33F0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B176E"/>
    <w:rsid w:val="002B1B0E"/>
    <w:rsid w:val="002C004E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B4E5B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45923"/>
    <w:rsid w:val="00984EEF"/>
    <w:rsid w:val="009D0631"/>
    <w:rsid w:val="009E30BF"/>
    <w:rsid w:val="00A14D14"/>
    <w:rsid w:val="00A20890"/>
    <w:rsid w:val="00A514B1"/>
    <w:rsid w:val="00AE2287"/>
    <w:rsid w:val="00B21B0F"/>
    <w:rsid w:val="00B45BF9"/>
    <w:rsid w:val="00B7228D"/>
    <w:rsid w:val="00BD30A4"/>
    <w:rsid w:val="00C00ADE"/>
    <w:rsid w:val="00C12703"/>
    <w:rsid w:val="00C16155"/>
    <w:rsid w:val="00C834F9"/>
    <w:rsid w:val="00CA27EB"/>
    <w:rsid w:val="00D56E7A"/>
    <w:rsid w:val="00D7508E"/>
    <w:rsid w:val="00D93E37"/>
    <w:rsid w:val="00DA7D99"/>
    <w:rsid w:val="00DC0055"/>
    <w:rsid w:val="00DC2AD8"/>
    <w:rsid w:val="00DD55C4"/>
    <w:rsid w:val="00E245B0"/>
    <w:rsid w:val="00E3069D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A1665"/>
  <w15:docId w15:val="{C9C4BBCE-A695-43D2-AF31-5F0641E3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B1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Медведева Евгения Юрьевна</cp:lastModifiedBy>
  <cp:revision>3</cp:revision>
  <cp:lastPrinted>2015-10-30T13:07:00Z</cp:lastPrinted>
  <dcterms:created xsi:type="dcterms:W3CDTF">2023-09-07T06:31:00Z</dcterms:created>
  <dcterms:modified xsi:type="dcterms:W3CDTF">2023-09-07T06:34:00Z</dcterms:modified>
</cp:coreProperties>
</file>