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«Благоустройство тротуарной зоны по улице Интернациональной в 7 микрорайоне»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(далее - Проект).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Место реализации: город Нижневартовск</w:t>
      </w:r>
      <w: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7 мкр., по улице Интернациональной по четной стороне от улицы Нефтяников до территории здания №10 по улице Интернациональной.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</w:t>
        <w:tab/>
        <w:t xml:space="preserve">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22.05.2025  по 20.11.2025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(акт приемки выполненных работ по объекту благоустройства от 20.11.2025).</w:t>
      </w:r>
      <w:r/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</w:t>
        <w:tab/>
        <w:t xml:space="preserve">Сведения о выполненных работах, оказанных услугах</w:t>
      </w:r>
      <w: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муниципального контракта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подрядной организацией                        ООО «Век-Строй» были выполнены работы по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устройству асфальтобетонного покрытия тротуарной зоны, монтажу и установке опор освещения, установке малых архитектурных форм и дождеприемного колодца</w:t>
      </w:r>
      <w:r>
        <w:rPr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озеленению территории</w:t>
      </w:r>
      <w:r/>
      <w:r>
        <w:rPr>
          <w:highlight w:val="none"/>
        </w:rPr>
      </w:r>
      <w:r>
        <w:rPr>
          <w:highlight w:val="none"/>
        </w:rPr>
        <w:t xml:space="preserve">.</w:t>
      </w:r>
      <w:r>
        <w:rPr>
          <w:highlight w:val="white"/>
        </w:rPr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произведена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расчистка территории, высадка деревьев, покраска малых архитектурных форм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Имущественное участие: приобретены саженцы рябины сибирской в количестве 10 штук, саженцы дерена 2 сортов в количестве 20 штук.</w:t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/>
    </w:p>
    <w:tbl>
      <w:tblPr>
        <w:tblStyle w:val="6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701"/>
        <w:gridCol w:w="1486"/>
        <w:gridCol w:w="1243"/>
        <w:gridCol w:w="1381"/>
      </w:tblGrid>
      <w:tr>
        <w:trPr>
          <w:trHeight w:val="477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Стоимость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Проекта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 том числе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Цена контракта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Экономия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Причины экономии</w:t>
            </w:r>
            <w:r/>
          </w:p>
        </w:tc>
      </w:tr>
      <w:tr>
        <w:trPr>
          <w:trHeight w:val="8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города Нижневартовска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Соф-ние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 (население, юр.лица, ИП)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9 946 473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9 646 473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9 381 641,41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564 831,59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сложилась по результатам проведенных 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link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uiPriority w:val="99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2025-11-27T04:15:11Z</dcterms:modified>
</cp:coreProperties>
</file>