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92" w:rsidRPr="009E3F92" w:rsidRDefault="009E3F92" w:rsidP="009E3F9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E3F92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8293A81" wp14:editId="40B64DD1">
            <wp:extent cx="304800" cy="419100"/>
            <wp:effectExtent l="0" t="0" r="0" b="0"/>
            <wp:docPr id="1" name="Рисунок 1" descr="http://oldversion.n-vartovs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version.n-vartovsk.ru/img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92" w:rsidRPr="009E3F92" w:rsidRDefault="009E3F92" w:rsidP="009E3F92">
      <w:pPr>
        <w:spacing w:before="24" w:after="24" w:line="240" w:lineRule="auto"/>
        <w:ind w:left="15"/>
        <w:jc w:val="center"/>
        <w:outlineLvl w:val="2"/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  <w:lang w:eastAsia="ru-RU"/>
        </w:rPr>
      </w:pPr>
      <w:r w:rsidRPr="009E3F92"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  <w:lang w:eastAsia="ru-RU"/>
        </w:rPr>
        <w:t>АДМИНИСТРАЦИЯ</w:t>
      </w:r>
      <w:r w:rsidRPr="009E3F92"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  <w:lang w:eastAsia="ru-RU"/>
        </w:rPr>
        <w:br/>
        <w:t>ГОРОДА НИЖНЕВАРТОВСКА</w:t>
      </w:r>
      <w:r w:rsidRPr="009E3F92"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  <w:lang w:eastAsia="ru-RU"/>
        </w:rPr>
        <w:br/>
        <w:t>ХАНТЫ-МАНСИЙСКИЙ АВТОНОМНЫЙ ОКРУГ-ЮГРА</w:t>
      </w:r>
    </w:p>
    <w:p w:rsidR="009E3F92" w:rsidRPr="009E3F92" w:rsidRDefault="009E3F92" w:rsidP="009E3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9E3F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9E3F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tbl>
      <w:tblPr>
        <w:tblW w:w="34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</w:tblGrid>
      <w:tr w:rsidR="009E3F92" w:rsidRPr="009E3F92" w:rsidTr="009E3F92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E3F92" w:rsidRPr="009E3F92" w:rsidRDefault="009E3F92" w:rsidP="009E3F92">
            <w:pPr>
              <w:spacing w:after="0" w:line="240" w:lineRule="auto"/>
              <w:jc w:val="both"/>
              <w:divId w:val="1542596138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E3F9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 13.9.2011 №1413p</w:t>
            </w:r>
            <w:r w:rsidRPr="009E3F9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9E3F9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9E3F9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О ходе реализации в первом полугодии 2011 года постановления администрации города от 27.06.2011 №720 "О мерах, направленных на обеспечение исполнения бюджета города Нижневартовска в 2011 году"</w:t>
            </w:r>
          </w:p>
        </w:tc>
      </w:tr>
    </w:tbl>
    <w:p w:rsidR="009E3F92" w:rsidRPr="009E3F92" w:rsidRDefault="009E3F92" w:rsidP="009E3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9E3F92" w:rsidRPr="009E3F92" w:rsidTr="009E3F9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F92" w:rsidRPr="009E3F92" w:rsidRDefault="009E3F92" w:rsidP="009E3F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соответствии с постановлением администрации города от 27.06.2011 №720 "О мерах, направленных на обеспечение исполнения бюджета города Нижневартовска в 2011 году":</w:t>
            </w:r>
          </w:p>
          <w:p w:rsidR="009E3F92" w:rsidRPr="009E3F92" w:rsidRDefault="009E3F92" w:rsidP="009E3F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E3F92" w:rsidRPr="009E3F92" w:rsidRDefault="009E3F92" w:rsidP="009E3F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Принять к сведению прилагаемую информацию о ходе реализации в первом полугодии 2011 года постановления администрации города  от 27.06.2011 №720 "О мерах, направленных на обеспечение исполнения бюджета города Нижневартовска в 2011 году" согласно приложению.</w:t>
            </w:r>
          </w:p>
          <w:p w:rsidR="009E3F92" w:rsidRPr="009E3F92" w:rsidRDefault="009E3F92" w:rsidP="009E3F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E3F92" w:rsidRPr="009E3F92" w:rsidRDefault="009E3F92" w:rsidP="009E3F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Признать удовлетворительной работу главных распорядителей средств бюджета города и главных администраторов доходов бюджета города по выполнению в первом полугодии 2011 года постановления администрации города от 27.06.2011 №720 "О мерах, направленных на обеспечение исполнения бюджета города Нижневартовска в 2011 году".</w:t>
            </w:r>
          </w:p>
          <w:p w:rsidR="009E3F92" w:rsidRPr="009E3F92" w:rsidRDefault="009E3F92" w:rsidP="009E3F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9E3F92" w:rsidRPr="009E3F92" w:rsidRDefault="009E3F92" w:rsidP="009E3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9E3F92" w:rsidRPr="009E3F92" w:rsidTr="009E3F92">
        <w:trPr>
          <w:tblCellSpacing w:w="0" w:type="dxa"/>
        </w:trPr>
        <w:tc>
          <w:tcPr>
            <w:tcW w:w="3750" w:type="pct"/>
            <w:vAlign w:val="center"/>
            <w:hideMark/>
          </w:tcPr>
          <w:p w:rsidR="009E3F92" w:rsidRPr="009E3F92" w:rsidRDefault="009E3F92" w:rsidP="009E3F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E3F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E3F9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администрации города</w:t>
            </w:r>
          </w:p>
        </w:tc>
        <w:tc>
          <w:tcPr>
            <w:tcW w:w="0" w:type="auto"/>
            <w:vAlign w:val="center"/>
            <w:hideMark/>
          </w:tcPr>
          <w:p w:rsidR="009E3F92" w:rsidRPr="009E3F92" w:rsidRDefault="009E3F92" w:rsidP="009E3F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E3F9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А.А. Бадина</w:t>
            </w:r>
          </w:p>
        </w:tc>
      </w:tr>
    </w:tbl>
    <w:p w:rsidR="00607D3A" w:rsidRDefault="00607D3A"/>
    <w:p w:rsidR="009E3F92" w:rsidRDefault="009E3F92"/>
    <w:p w:rsidR="009E3F92" w:rsidRDefault="009E3F92"/>
    <w:p w:rsidR="009E3F92" w:rsidRDefault="009E3F92"/>
    <w:p w:rsidR="009E3F92" w:rsidRDefault="009E3F92"/>
    <w:p w:rsidR="009E3F92" w:rsidRDefault="009E3F92">
      <w:pPr>
        <w:sectPr w:rsidR="009E3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8" w:type="dxa"/>
        <w:tblInd w:w="93" w:type="dxa"/>
        <w:tblLook w:val="0000" w:firstRow="0" w:lastRow="0" w:firstColumn="0" w:lastColumn="0" w:noHBand="0" w:noVBand="0"/>
      </w:tblPr>
      <w:tblGrid>
        <w:gridCol w:w="15428"/>
      </w:tblGrid>
      <w:tr w:rsidR="009E3F92" w:rsidRPr="009E3F92" w:rsidTr="00D45A75">
        <w:trPr>
          <w:trHeight w:val="1138"/>
        </w:trPr>
        <w:tc>
          <w:tcPr>
            <w:tcW w:w="15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3F92" w:rsidRPr="009E3F92" w:rsidRDefault="009E3F92" w:rsidP="009E3F92">
            <w:pPr>
              <w:spacing w:after="0" w:line="240" w:lineRule="auto"/>
              <w:ind w:left="110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 распоряжению</w:t>
            </w:r>
          </w:p>
          <w:p w:rsidR="009E3F92" w:rsidRPr="009E3F92" w:rsidRDefault="009E3F92" w:rsidP="009E3F92">
            <w:pPr>
              <w:spacing w:after="0" w:line="240" w:lineRule="auto"/>
              <w:ind w:left="110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9E3F92" w:rsidRPr="009E3F92" w:rsidRDefault="009E3F92" w:rsidP="009E3F92">
            <w:pPr>
              <w:spacing w:after="0" w:line="240" w:lineRule="auto"/>
              <w:ind w:left="110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13.09.2011 №1413-р</w:t>
            </w:r>
          </w:p>
        </w:tc>
      </w:tr>
      <w:tr w:rsidR="009E3F92" w:rsidRPr="009E3F92" w:rsidTr="00D45A75">
        <w:trPr>
          <w:trHeight w:val="100"/>
        </w:trPr>
        <w:tc>
          <w:tcPr>
            <w:tcW w:w="1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F92" w:rsidRPr="009E3F92" w:rsidRDefault="009E3F92" w:rsidP="009E3F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3F92" w:rsidRPr="009E3F92" w:rsidRDefault="009E3F92" w:rsidP="009E3F9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Информация</w:t>
            </w:r>
          </w:p>
          <w:p w:rsidR="009E3F92" w:rsidRPr="009E3F92" w:rsidRDefault="009E3F92" w:rsidP="009E3F9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ходе реализации в первом полугодии 2011 года постановления администрации города от 27.06.2011 №720 </w:t>
            </w:r>
          </w:p>
          <w:p w:rsidR="009E3F92" w:rsidRPr="009E3F92" w:rsidRDefault="009E3F92" w:rsidP="009E3F9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"О мерах, направленных на обеспечение исполнения бюджета города Нижневартовска в 2011 году"</w:t>
            </w:r>
          </w:p>
          <w:p w:rsidR="009E3F92" w:rsidRPr="009E3F92" w:rsidRDefault="009E3F92" w:rsidP="009E3F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tbl>
            <w:tblPr>
              <w:tblW w:w="15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9"/>
              <w:gridCol w:w="4450"/>
              <w:gridCol w:w="8823"/>
            </w:tblGrid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п/п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постановления администрации города 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 27.06.2011 №720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Выполнение</w:t>
                  </w:r>
                </w:p>
              </w:tc>
            </w:tr>
            <w:tr w:rsidR="009E3F92" w:rsidRPr="009E3F92" w:rsidTr="00D45A75">
              <w:trPr>
                <w:trHeight w:val="499"/>
              </w:trPr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Главным администраторам доходов бюджета города: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E3F92" w:rsidRPr="009E3F92" w:rsidTr="00D45A75">
              <w:trPr>
                <w:trHeight w:val="407"/>
              </w:trPr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1.1.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Принять меры по обеспечению полного и своевременного поступления доходов в бюджет города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поступление налоговых и неналоговых доходов составило 3 027 млн. руб. или 47% от общего объема доходов. План по данным доходам выполнен на 103%, в том числе сверхплановые поступления налоговых доходов составили  70 млн. руб., неналоговых - 22 млн. руб.  По сравнению с аналогичным периодом прошлого года  поступление налоговых и неналоговых доходов увеличилось на 98 млн. руб.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1.2.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Своевременно и в полном объеме предоставлять плательщикам информацию о реквизитах и кодах бюджетной классификации для зачисления соответствующих поступлений в бюджет города в целях сокращения, а в дальнейшем ликвидации невыясненных платежей в бюджет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города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на 01.04 2011 невыясненные платежи в бюджет города составляли 9 372 тыс. руб., на 01.07.2011 - 2 247 тыс. руб., то есть в течение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II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квартала невыясненные платежи            в бюджет города уменьшились на 7 125 тыс. руб.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1.3.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Активизировать работу по сокращению задолженности путем проведения своевременной претензионно-исковой работы с неплательщиками и осуществления мер принудительного взыскания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в части муниципального имущества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в адрес контрагентов, нарушающих обязательства по внесению в бюджет города денежных средств в соответствии с принятыми на себя договорными обязательствами, направлено 106 претензий на общую сумму 19 291,7 тыс. руб., в том числе: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 претензии на общую сумму 17 676,6 тыс. руб. - арендаторам объектов муниципальной собственности;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претензии на общую сумму 644,8 тыс. руб. - рекламораспространителям, размещающим рекламные конструкции на объектах муниципальной собственности;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претензии на общую сумму 970,3 тыс. руб. – покупателю по договору купли-продажи арендуемого муниципального имущества;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для взыскания задолженности в судебном порядке в юридическое управление администрации города переданы документы в отношении 16 должников – арендаторов муниципального имущества и рекламораспространителей, общая сумма задолженности которых составила 11 493,7 тыс. руб. На основании вступивших в законную силу судебных решений в погашение задолженности в бюджет города поступили денежные средства в сумме 4 894,0 тыс. руб., в том числе:</w:t>
                  </w:r>
                </w:p>
                <w:p w:rsidR="009E3F92" w:rsidRPr="009E3F92" w:rsidRDefault="009E3F92" w:rsidP="009E3F92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4 679,0 тыс. руб. – за использование муниципального имущества по договорам аренды и возмещение убытков, связанных с эксплуатацией помещений без законных оснований;</w:t>
                  </w:r>
                </w:p>
                <w:p w:rsidR="009E3F92" w:rsidRPr="009E3F92" w:rsidRDefault="009E3F92" w:rsidP="009E3F92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96,6 тыс. руб. – по договорам мены жилых помещений;</w:t>
                  </w:r>
                </w:p>
                <w:p w:rsidR="009E3F92" w:rsidRPr="009E3F92" w:rsidRDefault="009E3F92" w:rsidP="009E3F92">
                  <w:pPr>
                    <w:tabs>
                      <w:tab w:val="left" w:pos="993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119,2 тыс. руб. – по договорам найма муниципального жилого помещения с правом выкупа;</w:t>
                  </w:r>
                </w:p>
                <w:p w:rsidR="009E3F92" w:rsidRPr="009E3F92" w:rsidRDefault="009E3F92" w:rsidP="009E3F92">
                  <w:pPr>
                    <w:tabs>
                      <w:tab w:val="left" w:pos="993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проведено 7 заседаний комиссии по проверке своевременности внесения арендной платы за использование муниципального имущества. На заседания были приглашены 54 контрагента по договорам аренды муниципальных нежилых помещений и договорам на установку и эксплуатацию рекламных конструкций, допустившие задолженность по внесению платы за использование муниципального имущества и размещение наружной рекламы на муниципальных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объектах на общую сумму 5 779,1 тыс. руб.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комиссию должниками были представлены платежные документы об оплате суммы долга в размере 2 844,1 тыс. руб., что составляет 49,2% от общей суммы задолженности. Погашение остальной части задолженности поставлено комиссией на контроль;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4) в рамках осуществления проверок соблюдения контрагентами условий договоров коммерческого найма жилого помещения с правом выкупа, мены, купли-продажи жилых помещений и долей в них по 43 договорам составлены и переданы гражданам справки о состоянии лицевых счетов и выполнении денежных обязательств. По 57 договорам с контрагентами составлены акты сверки платежей;</w:t>
                  </w:r>
                </w:p>
                <w:p w:rsidR="009E3F92" w:rsidRPr="009E3F92" w:rsidRDefault="009E3F92" w:rsidP="009E3F92">
                  <w:pPr>
                    <w:tabs>
                      <w:tab w:val="left" w:pos="-166"/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9E3F92" w:rsidRPr="009E3F92" w:rsidRDefault="009E3F92" w:rsidP="009E3F92">
                  <w:pPr>
                    <w:tabs>
                      <w:tab w:val="left" w:pos="-166"/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в части земельных участков: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первом полугодии 2011 года в целях ликвидации кредиторской задолженности по доходам от аренды земельных участков приняты следующие меры: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направлено 312 претензии арендаторам-должникам с требованиями о погашении задолженности на сумму 64 288 тыс. руб. (в том числе в местный бюджет - 51 430 тыс. руб.), в результате оплачено 9 681 тыс. руб. (в том числе в местный бюджет -          7 744 тыс. руб.);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проведено 14 заседаний комиссии по контролю за своевременностью внесения арендной платы за земельные участки с приглашением 154 арендаторов-должников, общая сумма задолженности которых составила 99 037 тыс. руб. (в том числе в местный бюджет - 79 229 тыс. руб.), в результате оплачено 29 042 тыс. руб. (в местный бюджет - 23 233 тыс. руб.);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в юридическое управление администрации города для взыскания с арендаторов задолженности в судебном порядке передано 49 дел на общую сумму 44 590 тыс. руб. (в том числе в местный бюджет - 35 672 тыс. руб.);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в части налоговых доходов: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сотрудниками юридического управления администрации города оказана юридическая помощь налоговой инспекции в подготовке документов для взыскания задолженности в суд. За период с 10.05.2011 по 23.05.2011 подготовлено 751 заявление на выдачу судебных приказов на сумму 3 557 тыс. руб.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1.4.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Принимать меры, направленные на эффективное управление и распоряжение в сфере имущественных и земельных отношений на территории города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 первое полугодие 2011 года проведено 9 аукционов в отношении 13 лотов на право заключения договоров аренды муниципальных нежилых помещений. С победителями состоявшихся аукционов заключено 15 договоров аренды на сумму годовой арендной платы 4 934,8 тыс. руб., что на 355,5 тыс. руб. больше начальной цены (начального размера годовой арендной платы).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Заключено 12 договоров купли-продажи  муниципальных долей в праве общей долевой собственности на жилое помещение на общую сумму 3 692,1 тыс. руб., из них: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- 9 договоров на сумму 2 702,0 тыс. руб. с предоставлением покупателям рассрочки оплаты на 4 года;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- 2 договора на сумму 552,0 тыс. руб. с единовременной оплатой в течение 15 дней со дня подписания договора купли-продажи;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- 1 договор на сумму 438,1 тыс. руб. с предоставлением покупателю рассрочки оплаты на 10 лет.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Кроме того, в соответствии с определением суда об утверждении мирового соглашения с гражданином заключено 1 соглашение о порядке внесения денежных средств за предоставленное ему в собственность жилое помещение на сумму 610,90 тыс. руб.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1.5.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Продолжить работу по формированию и включению в государственный кадастр недвижимости земельных участков под многоквартирными домами в целях привлечения налогоплательщиков – собственников нежилых помещений, находящихся в многоквартирных домах, к уплате земельного налога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на территории города Нижневартовска по состоянию на 01.07.2011 подлежат формированию за счет средств местного бюджета 637 земельных участков, занятых многоквартирными домами. Из бюджета выделено на 2011 год 2 341,8 тыс. руб. для формирования 56 земельных участков, на которых ориентировочно расположено 80 многоквартирных домов. За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II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квартал 2011 года осуществлен государственный кадастровый учет</w:t>
                  </w:r>
                  <w:r w:rsidRPr="009E3F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 земельных участков под 15 многоквартирными домами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1.6.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 целях повышения уровня администрирования доходов при исполнении бюджета города представлять ежеквартально в департамент финансов администрации города аналитические материалы и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пояснительную записку об исполнении плановых назначений и информацию о проведенных мероприятиях по увеличению доходов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информация представляется своевременно.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увеличению доходов городского бюджета проведены следующие мероприятия: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1) администрацией города и ОАО "ТНК-ВР Менеджмент" заключено соглашение о сотрудничестве на сумму 68,2 млн. руб. Кроме того, 6 предприятий города подписали аналогичные соглашения о сотрудничестве в рамках реализации социально значимых проектов для населения города;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2) еженедельно проводится работа по выявлению лиц, осуществлявших незарегистрированную предпринимательскую деятельность. В результате совместной работы Управления Министерства внутренних дел Российской Федерации по городу Нижневартовску, департамента жилищно-коммунального хозяйства администрации города, Центра занятости населения, Управления социальной защиты населения по состоянию на 22.06.2011 выявлено 220</w:t>
                  </w:r>
                  <w:r w:rsidRPr="009E3F9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человек, за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II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квартал - 87 человек. Списки таких лиц переданы в налоговую инспекцию для оформления налоговых деклараций, а также в Центр занятости населения и Управление социальной защиты населения для сверки со списками получателей пособий. Всем гражданам, осуществлявшим незарегистрированную предпринимательскую деятельность, направлены уведомления о необходимости представления налоговой отчетности по уплате налогов с полученных доходов. С начала года представлена 41 декларация о доходах от сдачи имущества в аренду, сумма налога составила 512,0 тыс. руб., что в 2,5 раза больше по сравнению с уровнем платежей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I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квартала 2011 года;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3) в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I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квартале 2011 года выявлен один объект недвижимости, ранее не состоявший на учете в МРИ ФНС России №6 по ХМАО - Югре, в результате чего собственнику объекта недвижимости начислен налог на имущество физических лиц в сумме           5,4 тыс. руб.;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в течение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квартала 2011 года выявлено 3 транспортных средства, принадлежащих налогоплательщикам - физическим лицам, которым не был исчислен налог за период с 2008 по 2010 год. В результате проделанной работы  начислен транспортный налог в сумме 5,3 тыс. руб.;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5) в соответствии с протоколом совещания по легализации доходов граждан                    в рамках Антикризисного Совета при Главе города Нижневартовска от 2 июля 2010 года из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департамента жилищно-коммунального хозяйства администрации города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адрес налогового органа за период с 11.01.2011 по 21.06.2011 поступила информация о сдаче имущества (квартир, комнат) в аренду на 147 граждан. Вышеуказанным гражданам были направлены уведомления о необходимости представлении декларации о доходах за 2008-2010 годы. В ответ была представлена 41 декларация о доходах от сдачи имущества в аренду и регистрации физических лиц на своей территории. Сумма налога на доходы к уплате составила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– 512 тыс. руб.;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информация о владельцах транспортных средств (112 налогоплательщиков), предоставляющих услуги городского транспорта, направлена в налоговый орган для проведения контрольной работы (сопоставление данной информации и сведений, представленных в декларациях по единому налогу на вмененный доход для отдельных видов деятельности). Налогоплательщикам направлено 57 сообщений     с требованием представления пояснений о расхождениях по количеству объектов налогообложения;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7) в соответствии с Программой приватизации муниципального имущества                   в первом полугодии 2011 года заключено 7 договоров купли-продажи арендованного муниципального имущества на общую сумму 34 948,3 тыс. руб. (без учета налога). Данными договорами предусмотрено предоставление покупателям рассрочки оплаты имущества сроком на 3 года. Сумма доходов бюджета города от продажи объектов на 25 915,5 тыс. руб. превышает сумму дохода от передачи их в аренду за 3 года;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8) проведено 135 выездных обследований, в ходе которых выявлено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36 фактов самовольного занятия земельных участков. Предъявлено 18 претензий о возмещении стоимости неосновательного обогащения в связи с использованием земельных участков без правоустанавливающих и правоудостоверяющих документов на сумму          4 525 тыс. руб. (в том числе в местный бюджет - 3 620 тыс. руб.), из них оплачено         6 645 тыс. руб. (в том числе в местный бюджет - 5 556 тыс. руб.);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9) завершены работы по обследованию 98 гаражно-строительных кооперативов,          в результате выявлено 5 фактов использования земельных участков без оформленных в установленном порядке правоустанавливающих документов на землю.  Сводная информация направлена для исполнения и принятия решений в адрес служб, участвовавших в проведении мероприятий по инвентаризации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2.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Главным распорядителям средств бюджета города: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E3F92" w:rsidRPr="009E3F92" w:rsidTr="00D45A75">
              <w:tc>
                <w:tcPr>
                  <w:tcW w:w="1929" w:type="dxa"/>
                  <w:vMerge w:val="restart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2.1.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Обеспечить: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E3F92" w:rsidRPr="009E3F92" w:rsidTr="00D45A75"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исполнение бюджета города с учетом основных направлений налоговой и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бюджетной политики города Нижневартовска на 2011 год и на плановый период 2012 и 2013 годов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по состоянию на 01.07.2011 бюджет города исполнен по доходам в сумме 6 490 млн. руб. или на  105%, по расходам - 6 046 млн. руб. или на 47% от плановых </w:t>
                  </w:r>
                  <w:r w:rsidRPr="009E3F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назначений (12 780 млн. руб.). По итогам первого полугодия 2011 года сложился профицит бюджета в сумме 444 млн. руб.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Расходная часть бюджета города в 2011 году, как и в предыдущем году, сохранила свою социальную направленность.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 отрасли социально-культурной сферы направлено 4 040 млн. руб. или 67%          от общего объема расходов.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Расходы, направленные на финансирование отраслей производственной сферы, составили 1 040 млн. руб. или 17% от общего объема расходов бюджета города.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прочим расходам исполнение составило 966 млн. руб. или 16% (общегосударственные расходы, правоохранительная деятельность, СМИ, обслуживание муниципального долга).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предоставление бюджетных инвестиций в объекты муниципальной собственности направлено 448 млн. руб.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состоянию на 01.07.2011 привлечены заемные средства в сумме 125,5 млн. руб., муниципальный долг составил 161,3 млн. руб. Расходы на реализацию городских программ исполнены в сумме 254 млн. руб. или 40,7% к уточненному плану на год, региональных программ – 359,2 млн. руб. или 26% к уточненному плану на год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пределах доведенных лимитов бюджетных обязательств безусловное исполнение бюджетных обязательств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бюджетных обязательств бюджета города осуществляется в пределах доведенных лимитов бюджетных обязательств. В пределах доведенных лимитов бюджетных обязательств обеспечивается исполнение бюджетных обязательств по социально значимым и первоочередным направлениям расходов бюджета города.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приоритетном порядке финансировались социально значимые</w:t>
                  </w:r>
                  <w:r w:rsidRPr="009E3F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расходы (оплата труда и начисления на выплаты по оплате труда, коммунальные услуги, социальное обеспечение, продукты питания, приобретение медикаментов, прочие материальные расходы), исполнение по которым составило 67,4% от общего объема расходов или </w:t>
                  </w:r>
                  <w:r w:rsidRPr="009E3F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4 074 млн. руб.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из них:</w:t>
                  </w:r>
                </w:p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- 3 432 млн. руб.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направлено на оплату труда и начисления на выплаты по оплате труда, что составляет 56,8% от общего объема расходов;</w:t>
                  </w:r>
                </w:p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- 221 млн. руб.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или 3,6% - на оплату коммунальных услуг;</w:t>
                  </w:r>
                </w:p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- 284 млн. руб.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или 4,7% - на социальное обеспечение.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Первоочередные расходы исполнены в сумме 169 млн. руб. или 2,8% от общего объема расходов, из них 119 млн. руб. или 2% - прочие выплаты (оплата проезда        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к месту проведения отпуска и обратно; фонд оздоровления, командировочные расходы - суточные; единовременная выплата на оздоровление; компенсация за наем жилых помещений в общежитии; подъемное пособие молодым специалистам; единовременная помощь на погребение; компенсационные выплаты за книгоиздательскую продукцию). Остальные расходы – 1 803 млн. руб. или 29,8% от общего объема расходов, в том числе:</w:t>
                  </w:r>
                </w:p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- 520 млн. руб. или 8,6% - увеличение стоимости основных средств (капитальные вложения, приобретение оборудования);</w:t>
                  </w:r>
                </w:p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- 430 млн. руб. или 7,1% - работы, услуги по содержанию имущества;</w:t>
                  </w:r>
                </w:p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- 251 млн. руб. или 4,1% - прочие работы, услуги (подписка на периодические издания; утилизация отходов; оплата услуг охраны; стоянка автомобилей; сопровождение программных продуктов, лицензионные платежи за программы; оплата договоров ОСАГО; установка и монтаж систем охранной и пожарной сигнализации, видеонаблюдения; найм жилых помещений при служебных командировках; проектно-изыскательские работы);</w:t>
                  </w:r>
                </w:p>
                <w:p w:rsidR="009E3F92" w:rsidRPr="009E3F92" w:rsidRDefault="009E3F92" w:rsidP="009E3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- 573 млн. руб. или 9,5% - безвозмездные перечисления государственным и муниципальным организациям;</w:t>
                  </w:r>
                </w:p>
                <w:p w:rsidR="009E3F92" w:rsidRPr="009E3F92" w:rsidRDefault="009E3F92" w:rsidP="009E3F92">
                  <w:pPr>
                    <w:widowControl w:val="0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- 29 млн. руб. или 0,5% - прочие расходы (транспортный налог, оплата госпошлин, налогов, штрафов, пеней; прием и обслуживание делегаций)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контроль за соблюдением руководителями муниципальных учреждений установленного размера минимальной заработной платы в автономном округе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целях недопущения выплаты заработной платы в размере ниже минимального размера оплаты труда, установленного в рамках Трехстороннего соглашения по размеру минимальной заработной платы в автономном округе, руководители муниципальных учреждений города производят ежемесячные доплаты работникам, размер заработной платы которых, при условии полного выполнения работником нормы труда и отработки месячной нормы рабочего времени, не достигает установленного минимального размера оплаты труда.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 первое полугодие 2011 года произведена доплата 586 работникам, размер заработной платы которых, при условии полного выполнения работником нормы труда и отработки месячной нормы рабочего времени, не достигает установленного минимального размера оплаты труда, в сумме 5 013,4 тыс. руб.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контроль за использованием средств, выделяемых на реализацию наказов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избирателей депутатам Думы автономного округа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проводится ежеквартальный мониторинг за целевым использованием средств, выделяемых на реализацию наказов избирателей депутатам Думы автономного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округа.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Средства, выделяемые на реализацию наказов избирателей депутатам Думы автономного округа, по состоянию на 01.07.2011 исполнены в сумме 11 млн. руб., что составляет 34% к плановым назначениям года - 32 млн. руб.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Средства направлены на приобретение оборудования, мебели, компьютерной техники, укрепление материально-технической базы учреждений, проведение ремонтных работ, замену оконных блоков, проведение текущего ремонта учреждений, приобретение строительных материалов, приобретение мебели для клинико-диагностической лаборатории, медицинской аппаратуры, строительство спортивной трассы, участие в конкурсах и соревнованиях</w:t>
                  </w:r>
                </w:p>
              </w:tc>
            </w:tr>
            <w:tr w:rsidR="009E3F92" w:rsidRPr="009E3F92" w:rsidTr="00D45A75">
              <w:trPr>
                <w:trHeight w:val="1128"/>
              </w:trPr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жесткий режим экономного и рационального использования бюджетных средств, направляемых на оказание социально значимых муниципальных услуг, включая установление для муниципальных учреждений нормативов потребления топливно-энергетических            и других материальных ресурсов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утвержден план мероприятий муниципального образования город Нижневартовск "Об энергосбережении и повышении энергетической эффективности", где одним из важнейших мероприятий для главных распорядителей бюджетных средств, руководителей бюджетных учреждений и муниципальных предприятий является обеспечение снижения объема потребленных энергетических ресурсов в течении 5 лет не менее чем на 15% от объема фактически потребленных в 2009 году с ежегодным снижением такого объема не менее чем на 3%.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Департаментом жилищно-коммунального хозяйства администрации города совместно с предприятиями, предоставляющими услуги жилищно-коммунального хозяйства,  при формировании тарифов проводится оптимизация затрат, разрабатываются мероприятия по улучшению результатов финансово-экономической деятельности и эффективности производства. При формировании тарифов на жилищные услуги на 2011 год проведены следующие мероприятия по оптимизации затрат: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уменьшение численности;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уточнение перечня выполняемых работ и услуг по содержанию и обслуживанию жилищного фонда;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увеличение уровня платежей граждан за жилищные услуги по бесхозяйному жилищному фонду.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Проведенные мероприятия дали возможность установить в 2011 году размер платы за жилищные и коммунальные услуги ниже индексов, установленных округом, примерно на 1%, что позволило уменьшить выделение бюджетных средств на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сумму 13 368,0 тыс. руб. по статьям "Содержание и ремонт ветхого жилищного фонда, жилищного фонда с неблагоприятными экологическими характеристиками", "Содержание и ремонт бесхозяйного жилищного фонда"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формирование в установленном порядке муниципальных заданий и их выполнение подведомственными муниципальными учреждениями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для формирования муниципальных заданий и их выполнения принято постановление администрации города от 12.05.2011 №493 "Об утверждении Положения о порядке формирования муниципального задания в отношении муниципальных учреждений города Нижневартовска и финансового обеспечения выполнения муниципального задания и о признании утратившими силу некоторых постановлений Главы и администрации города". В соответствии с данным постановлением на 2011 год в отношении всех бюджетных и автономных учреждений города Нижневартовска утверждены муниципальные задания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  <w:vMerge w:val="restart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2.2.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 допускать: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E3F92" w:rsidRPr="009E3F92" w:rsidTr="00D45A75">
              <w:trPr>
                <w:trHeight w:val="407"/>
              </w:trPr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необоснованного увеличения количества принимаемых расходных обязательств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необоснованное увеличение количества принимаемых расходных обязательств не допускается</w:t>
                  </w:r>
                </w:p>
              </w:tc>
            </w:tr>
            <w:tr w:rsidR="009E3F92" w:rsidRPr="009E3F92" w:rsidTr="00D45A75">
              <w:trPr>
                <w:trHeight w:val="1700"/>
              </w:trPr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образования просроченной кредиторской задолженности муниципальных учреждений в первую очередь по выплате заработной платы и начислениям на выплаты по оплате труда, оплате коммунальных услуг, а также по другим социально значимым и первоочередным расходам бюджета города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данным бюджетной отчетности по состоянию на 1 июля 2011 года просроченная кредиторская задолженность отсутствует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нецелевого использования субсидий, субвенций и иных межбюджетных трансфертов, полученных из бюджетов других уровней и имеющих целевое назначение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расходы, осуществляемые за счет соответствующей субвенции, субсидии и иных межбюджетных трансфертов, производятся строго с целевым назначением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E3F92" w:rsidRPr="009E3F92" w:rsidTr="00D45A75">
              <w:tc>
                <w:tcPr>
                  <w:tcW w:w="1929" w:type="dxa"/>
                  <w:vMerge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увеличения штатной численности работников муниципальных учреждений, за исключением случаев принятия решения о передаче муниципальному образованию дополнительных отдельных полномочий Российской Федерации и Ханты-Мансийского автономного округа - Югры и ввода новых объектов капитального строительства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увеличение штатной численности работников муниципальных учреждений произошло в целях повышения качества муниципальных услуг, оказываемых населению города Нижневартовска. На 01.07.2011 введено 165,42 шт.ед. (</w:t>
                  </w:r>
                  <w:r w:rsidRPr="009E3F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работники муниципальных учреждений).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целях обеспечения доступности и качества оказания первичной медико-социальной помощи населению города в соответствии со стандартами медицинской помощи введено: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муниципальное бюджетное учреждение "Станция скорой медицинской помощи"  83 шт. ед.  (с 01.01.2011);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муниципальное учреждение "Городская больница №2" 69 шт. ед. (с 01.01.2011).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целях обеспечения доступности получения дополнительного образования несовершеннолетними в образовательных учреждениях города, учитывая наличие созданных материально-технических условий, на базе муниципальных общеобразовательных средних школ №19 и №42 для функционирования автогородка введено 4 шт. ед. (с 01.01.2011).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целях повышения качества муниципальных услуг, оказываемых населению города Нижневартовска в области культуры и искусства, введено: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в муниципальное бюджетное учреждение "Дворец культуры "Октябрь" 2 шт. ед.      (с 01.04.2011);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в муниципальное бюджетное учреждение "Дворец искусств" 1 шт. ед.                        (с 01.05.2011).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связи с вводом в эксплуатацию нового объекта введены штатные единицы  в муниципальное автономное дошкольное образовательное учреждение города Нижневартовска центр развития ребенка – детский сад №44 "Золотой ключик" 6,42 шт. ед. (с 01.04.2011).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Увеличения штатной численности р</w:t>
                  </w:r>
                  <w:r w:rsidRPr="009E3F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аботников муниципальных учреждений, финансовое обеспечение которых полностью или частично осуществляется за счет средств субвенций из регионального фонда компенсаций бюджета автономного округа, не было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2.3.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Провести мероприятия по оптимизации бюджетных расходов, включающие в себя инвентаризацию действующих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расходных обязательств, отказ от нерациональных расходов и принятия новых расходных обязательств, инвентаризацию сети бюджетных учреждений и численности подведомственных учреждений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для более эффективного и результативного использования кадровых и бюджетных ресурсов в системе здравоохранения с 01.02.2011 был осуществлен перевод автотранспортной службы муниципального учреждения "Городская больница №1" </w:t>
                  </w: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в муниципальное учреждение "Городская поликлиника" и проведена оптимизация численности персонала путем исключения дублирующих должностей и их перепрофилирования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2.4.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Проводить анализ дебиторской и кредиторской задолженностей и принимать меры по их сокращению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мониторинг дебиторской и кредиторской задолженности проводится ежемесячно. Просроченная кредиторская задолженность отсутствует</w:t>
                  </w:r>
                </w:p>
              </w:tc>
            </w:tr>
            <w:tr w:rsidR="009E3F92" w:rsidRPr="009E3F92" w:rsidTr="00D45A75">
              <w:tc>
                <w:tcPr>
                  <w:tcW w:w="1929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2.6.</w:t>
                  </w:r>
                </w:p>
              </w:tc>
              <w:tc>
                <w:tcPr>
                  <w:tcW w:w="4450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Представлять в департамент финансов администрации города в срок до 12 числа месяца, следующего за отчетным кварталом, сведения об экономии лимитов бюджетных обязательств, сложившихся по итогам размещения заказов на поставку товаров, выполнение работ, оказание услуг для муниципальных нужд и предложения по их дальнейшему направлению; сведения о дебиторской и кредиторской задолженности, в том числе просроченной; информацию об исполнении настоящего постановления за полугодие, 9 месяцев, год</w:t>
                  </w:r>
                </w:p>
              </w:tc>
              <w:tc>
                <w:tcPr>
                  <w:tcW w:w="8823" w:type="dxa"/>
                </w:tcPr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 главные распорядители средств бюджета города своевременно представили сведения и информацию о выполнении постановления администрации города           от 27.06.2011 №720 за первое полугодие.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ходе исполнения бюджета города за первое полугодие сумма экономии, сложившаяся по итогам размещения заказов на поставку товаров, выполнение работ, оказание услуг для муниципальных нужд, составила 10,5 млн. руб.</w:t>
                  </w:r>
                </w:p>
                <w:p w:rsidR="009E3F92" w:rsidRPr="009E3F92" w:rsidRDefault="009E3F92" w:rsidP="009E3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E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Сведения по дебиторской и кредиторской задолженности, в том числе просроченной, представляются в сроки, установленные для представления месячной  и квартальной бюджетной отчетности в 2011 году</w:t>
                  </w:r>
                </w:p>
              </w:tc>
            </w:tr>
          </w:tbl>
          <w:p w:rsidR="009E3F92" w:rsidRPr="009E3F92" w:rsidRDefault="009E3F92" w:rsidP="009E3F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3F92" w:rsidRPr="009E3F92" w:rsidTr="00D45A75">
        <w:trPr>
          <w:trHeight w:val="285"/>
        </w:trPr>
        <w:tc>
          <w:tcPr>
            <w:tcW w:w="1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F92" w:rsidRPr="009E3F92" w:rsidRDefault="009E3F92" w:rsidP="009E3F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3F92" w:rsidRPr="009E3F92" w:rsidRDefault="009E3F92" w:rsidP="009E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F92" w:rsidRDefault="009E3F92">
      <w:bookmarkStart w:id="0" w:name="_GoBack"/>
      <w:bookmarkEnd w:id="0"/>
    </w:p>
    <w:sectPr w:rsidR="009E3F92" w:rsidSect="00C06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/>
      <w:pgMar w:top="567" w:right="1134" w:bottom="1701" w:left="1134" w:header="709" w:footer="709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5F" w:rsidRDefault="009E3F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5F" w:rsidRDefault="009E3F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5F" w:rsidRDefault="009E3F92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5F" w:rsidRDefault="009E3F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5F" w:rsidRPr="00DF7EEB" w:rsidRDefault="009E3F92">
    <w:pPr>
      <w:pStyle w:val="a5"/>
      <w:jc w:val="center"/>
      <w:rPr>
        <w:sz w:val="24"/>
        <w:szCs w:val="24"/>
      </w:rPr>
    </w:pPr>
    <w:r w:rsidRPr="00DF7EEB">
      <w:rPr>
        <w:sz w:val="24"/>
        <w:szCs w:val="24"/>
      </w:rPr>
      <w:fldChar w:fldCharType="begin"/>
    </w:r>
    <w:r w:rsidRPr="00DF7EEB">
      <w:rPr>
        <w:sz w:val="24"/>
        <w:szCs w:val="24"/>
      </w:rPr>
      <w:instrText xml:space="preserve"> PAGE   \* MERGEFORMAT </w:instrText>
    </w:r>
    <w:r w:rsidRPr="00DF7EEB"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 w:rsidRPr="00DF7EEB">
      <w:rPr>
        <w:sz w:val="24"/>
        <w:szCs w:val="24"/>
      </w:rPr>
      <w:fldChar w:fldCharType="end"/>
    </w:r>
  </w:p>
  <w:p w:rsidR="0099695F" w:rsidRDefault="009E3F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5F" w:rsidRDefault="009E3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53"/>
    <w:rsid w:val="00044553"/>
    <w:rsid w:val="00607D3A"/>
    <w:rsid w:val="009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3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E3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9E3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9E3F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3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E3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9E3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9E3F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gi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3891</Words>
  <Characters>22180</Characters>
  <Application>Microsoft Office Word</Application>
  <DocSecurity>0</DocSecurity>
  <Lines>184</Lines>
  <Paragraphs>52</Paragraphs>
  <ScaleCrop>false</ScaleCrop>
  <Company>Hewlett-Packard Company</Company>
  <LinksUpToDate>false</LinksUpToDate>
  <CharactersWithSpaces>26019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Светланан Николаевна</dc:creator>
  <cp:keywords/>
  <dc:description/>
  <cp:lastModifiedBy>Куклина Светланан Николаевна</cp:lastModifiedBy>
  <cp:revision>2</cp:revision>
  <dcterms:created xsi:type="dcterms:W3CDTF">2015-03-20T07:04:00Z</dcterms:created>
  <dcterms:modified xsi:type="dcterms:W3CDTF">2015-03-20T07:06:00Z</dcterms:modified>
</cp:coreProperties>
</file>