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решением Российской трехсторонней</w:t>
      </w:r>
    </w:p>
    <w:p>
      <w:pPr>
        <w:pStyle w:val="0"/>
        <w:jc w:val="right"/>
      </w:pPr>
      <w:r>
        <w:rPr>
          <w:sz w:val="24"/>
        </w:rPr>
        <w:t xml:space="preserve">комиссии по регулированию</w:t>
      </w:r>
    </w:p>
    <w:p>
      <w:pPr>
        <w:pStyle w:val="0"/>
        <w:jc w:val="right"/>
      </w:pPr>
      <w:r>
        <w:rPr>
          <w:sz w:val="24"/>
        </w:rPr>
        <w:t xml:space="preserve">социально-трудовых отношений</w:t>
      </w:r>
    </w:p>
    <w:p>
      <w:pPr>
        <w:pStyle w:val="0"/>
        <w:jc w:val="right"/>
      </w:pPr>
      <w:r>
        <w:rPr>
          <w:sz w:val="24"/>
        </w:rPr>
        <w:t xml:space="preserve">от 26 марта 2021 г., протокол N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РЕКОМЕНДАЦИИ</w:t>
      </w:r>
    </w:p>
    <w:p>
      <w:pPr>
        <w:pStyle w:val="2"/>
        <w:jc w:val="center"/>
      </w:pPr>
      <w:r>
        <w:rPr>
          <w:sz w:val="24"/>
        </w:rPr>
        <w:t xml:space="preserve">РОССИЙСКОЙ ТРЕХСТОРОННЕЙ КОМИССИИ ПО РЕГУЛИРОВАНИЮ</w:t>
      </w:r>
    </w:p>
    <w:p>
      <w:pPr>
        <w:pStyle w:val="2"/>
        <w:jc w:val="center"/>
      </w:pPr>
      <w:r>
        <w:rPr>
          <w:sz w:val="24"/>
        </w:rPr>
        <w:t xml:space="preserve">СОЦИАЛЬНО-ТРУДОВЫХ ОТНОШЕНИЙ СТОРОНАМ СОЦИАЛЬНОГО</w:t>
      </w:r>
    </w:p>
    <w:p>
      <w:pPr>
        <w:pStyle w:val="2"/>
        <w:jc w:val="center"/>
      </w:pPr>
      <w:r>
        <w:rPr>
          <w:sz w:val="24"/>
        </w:rPr>
        <w:t xml:space="preserve">ПАРТНЕРСТВА ПО ОРГАНИЗАЦИИ ДИСТАНЦИОННОЙ (УДАЛЕННОЙ) РАБОТЫ</w:t>
      </w:r>
    </w:p>
    <w:p>
      <w:pPr>
        <w:pStyle w:val="2"/>
        <w:jc w:val="center"/>
      </w:pPr>
      <w:r>
        <w:rPr>
          <w:sz w:val="24"/>
        </w:rPr>
        <w:t xml:space="preserve">И ПО ОПРЕДЕЛЕНИЮ КАТЕГОРИЙ РАБОТНИКОВ, В ПРИОРИТЕТНОМ</w:t>
      </w:r>
    </w:p>
    <w:p>
      <w:pPr>
        <w:pStyle w:val="2"/>
        <w:jc w:val="center"/>
      </w:pPr>
      <w:r>
        <w:rPr>
          <w:sz w:val="24"/>
        </w:rPr>
        <w:t xml:space="preserve">ПОРЯДКЕ ВРЕМЕННО ПЕРЕВОДИМЫХ НА ДИСТАНЦИОННУЮ (УДАЛЕННУЮ)</w:t>
      </w:r>
    </w:p>
    <w:p>
      <w:pPr>
        <w:pStyle w:val="2"/>
        <w:jc w:val="center"/>
      </w:pPr>
      <w:r>
        <w:rPr>
          <w:sz w:val="24"/>
        </w:rPr>
        <w:t xml:space="preserve">РАБОТУ ПО ИНИЦИАТИВЕ РАБОТОДАТЕЛЯ В ИСКЛЮЧИТЕЛЬНЫХ СЛУЧАЯХ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r>
        <w:rPr>
          <w:sz w:val="24"/>
        </w:rPr>
        <w:t xml:space="preserve">абзаца третьего пункта 3</w:t>
      </w:r>
      <w:r>
        <w:rPr>
          <w:sz w:val="24"/>
        </w:rPr>
        <w:t xml:space="preserve"> Постановления Государственной Думы Федерального Собрания Российской Федерации от 26 ноября 2020 г. N 9238-7 Российская трехсторонняя комиссия по регулированию социально-трудовых отношений предлагает сторонам социального партнерства на соответствующих уровнях учитывать следующие рекомендации.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Вопросы организации постоянной дистанционной (удаленной) работы (в течение срока действия трудового договора), временной дистанционной (удаленной) работы (до 6 месяцев), периодической дистанционной (удаленной) работы (чередование периодов выполнения работником трудовой функции дистанционно с выполнением трудовых функций на рабочем месте) (далее - дистанционная работа) регулируется в организациях в соответствии с Трудовым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коллективными договорами, локальными нормативными актами, принимаемыми с учетом мнения выборного органа первичной профсоюзной организации, трудовыми договорами.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Вопросы организации временного перевода работников на дистанционную работу по инициативе работодателя в исключительных случаях регламентируются в локальных нормативных актах, принимаемых с учетом мнения выборного органа первичной профсоюзной организации.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Организацию дистанционной работы (кроме дистанционной работы по инициативе работодателя в исключительных случаях) рекомендуется осуществлять с учетом специфики деятельности работников путем отражения в коллективном договоре, локальном нормативном акте (актах), принимаемом с учетом мнения выборного органа первичной профсоюзной организации, в трудовом договоре, дополнительном соглашении к трудовому договору следующих положений: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порядка взаимодействия работодателя и работника, в том числе в связи с выполнением трудовой функции дистанционно, передачей результатов работы и отчетов о выполненной работе по запросам работодателя;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сроков подтверждения получения электронного документа от другой стороны;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порядка подтверждения действий дистанционного работника и работодателя, связанных с предоставлением друг другу информации, если они осуществляют взаимодействие в иной форме;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формы подачи работником работодателю заявлений (в письменной или электронной форме и др.), предусмотренных Трудовым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осуществления ознакомления работника с документами, в отношении которых трудовым законодательством предусмотрено ознакомление под роспись;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режима рабочего времени и времени отдыха дистанционного работника;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условий и порядка вызова работодателем дистанционного работника на стационарное рабочее место или выхода на работу такого работника по своей инициативе (за исключением дистанционной работы в соответствии со </w:t>
      </w:r>
      <w:r>
        <w:rPr>
          <w:sz w:val="24"/>
        </w:rPr>
        <w:t xml:space="preserve">статьей 312.9</w:t>
      </w:r>
      <w:r>
        <w:rPr>
          <w:sz w:val="24"/>
        </w:rPr>
        <w:t xml:space="preserve">. Трудового кодекса Российской Федерации);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порядка предоставления ежегодного оплачиваемого отпуска и иных видов отпусков работникам, выполняющим дистанционную работу на постоянной основе;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обеспечения работника необходимым оборудованием, программно-техническими средствами, средствами защиты и иными материально-техническими средствами, необходимыми работнику для выполнения своей трудовой функции;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порядка, сроков и размеров компенсации дистанционному работнику расходов за использование принадлежащих ему или арендованных им оборудования, программно-технических средств, средств защиты информации и иных средств (если работник использует данные средства с согласия или ведома работодателя и в его интересах);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порядка ознакомления дистанционного работника с требованиями охраны труда при работе с оборудованием и средствами, рекомендованными или предоставленными работодателем;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распространения дополнительных гарантий, предусмотренных коллективным договором и (или) локальным нормативным актом работодателя, на дистанционных работников с учетом особенностей их работы;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иных положений, связанных с организацией дистанционной работы (при необходимости). В исключительных случаях, ставящих под угрозу жизнь или нормальные жизненные условия всего населения или его части, при осуществлении перевода на временную дистанционную работу по инициативе работодателя, работодатель с учетом фактической возможности работников и работодателя и решений, принятых органом государственной власти и (или) органом местного самоуправления, может установить категории работников, имеющих приоритетное право на перевод на временную дистанционную работу.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Например, к ним можно отнести: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работников, рабочие места которых находятся в зоне непосредственной угрозы для их жизни и здоровья;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беременных женщин;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работающих пенсионеров и работников, имеющих хронические заболевания;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работников (родителей, опекунов, попечителей, приемных родителей), имеющих детей в возрасте до 14 лет;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работников, осуществляющих уход за инвалидами или длительно болеющими членами семьи, которые по состоянию здоровья нуждаются в уходе;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инвалидов;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других работников, предусмотренных коллективным договором, локальным нормативным актом, трудовым договором.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Сторонам социального партнерства на отраслевом, региональном и муниципальном уровнях рекомендуется проводить анализ и обобщение правоприменительной практики организации дистанционной работы.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"Рекомендации Российской трехсторонней комиссии по регулированию социально-трудовых отношений сторонам социального партн...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27.11.2025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0715" cy="445770"/>
                    <wp:effectExtent l="0" t="0" r="0" b="0"/>
                    <wp:docPr id="1" name="Консультант Плюс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10715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45pt;height:35.1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"Рекомендации Российской трехсторонней комиссии по регулированию социально-трудовых отношений сторонам социального партн...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27.11.2025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"Рекомендации Российской трехсторонней комиссии по регулированию социально-трудовых отношений сторонам социального партнерства по организации дистанционной (удаленной) работы и по определению категорий работников, в приоритетном порядке временно переводимых на дистанционную (удаленную) работу по инициативе работодателя в исключительных случаях"
(утв. решением Российской трехсторонней комиссии по регулированию социально-трудовых отношений от 26.03.2021, протокол N 2)</dc:title>
  <dcterms:created xsi:type="dcterms:W3CDTF">2025-11-27T06:21:50Z</dcterms:created>
</cp:coreProperties>
</file>