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54" w:rsidRPr="00CA4C54" w:rsidRDefault="00CA4C54" w:rsidP="0039644C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A4C54" w:rsidRPr="00CA4C54" w:rsidRDefault="00CA4C54" w:rsidP="0039644C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CA4C54" w:rsidRPr="00CA4C54" w:rsidRDefault="00CA4C54" w:rsidP="0039644C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CA4C54" w:rsidRPr="00CA4C54" w:rsidRDefault="00247CCF" w:rsidP="0039644C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57B4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331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B4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333175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57B4E">
        <w:rPr>
          <w:rFonts w:ascii="Times New Roman" w:eastAsia="Times New Roman" w:hAnsi="Times New Roman" w:cs="Times New Roman"/>
          <w:sz w:val="28"/>
          <w:szCs w:val="28"/>
          <w:lang w:eastAsia="ru-RU"/>
        </w:rPr>
        <w:t>343</w:t>
      </w:r>
    </w:p>
    <w:p w:rsidR="00CA4C54" w:rsidRPr="00CA4C54" w:rsidRDefault="00CA4C54" w:rsidP="0039644C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A4C54" w:rsidRPr="00287CC2" w:rsidRDefault="00CA4C54" w:rsidP="00CA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72CC0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</w:t>
      </w:r>
    </w:p>
    <w:p w:rsidR="00287CC2" w:rsidRDefault="00CA4C54" w:rsidP="00CA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контрольно-счетного органа муниципального </w:t>
      </w:r>
    </w:p>
    <w:p w:rsidR="00CA4C54" w:rsidRPr="00287CC2" w:rsidRDefault="00CA4C54" w:rsidP="00CA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сч</w:t>
      </w:r>
      <w:r w:rsidR="00AA5070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города </w:t>
      </w:r>
      <w:r w:rsidR="008564F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Нижневартовска в 2017</w:t>
      </w:r>
      <w:r w:rsid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CA4C54" w:rsidRPr="00CA4C54" w:rsidRDefault="00CA4C54" w:rsidP="00CA4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1F68" w:rsidRPr="00736583" w:rsidRDefault="00B72CC0" w:rsidP="00736583">
      <w:pPr>
        <w:pStyle w:val="Default"/>
        <w:ind w:firstLine="709"/>
        <w:jc w:val="both"/>
        <w:rPr>
          <w:sz w:val="28"/>
          <w:szCs w:val="28"/>
        </w:rPr>
      </w:pPr>
      <w:r w:rsidRPr="00736583">
        <w:rPr>
          <w:rFonts w:eastAsia="Times New Roman"/>
          <w:sz w:val="28"/>
          <w:szCs w:val="28"/>
          <w:lang w:eastAsia="ru-RU"/>
        </w:rPr>
        <w:t xml:space="preserve">Контрольно-счетный орган </w:t>
      </w:r>
      <w:r w:rsidR="006921DB">
        <w:rPr>
          <w:rFonts w:eastAsia="Times New Roman"/>
          <w:sz w:val="28"/>
          <w:szCs w:val="28"/>
          <w:lang w:eastAsia="ru-RU"/>
        </w:rPr>
        <w:t>муниципального образования - счё</w:t>
      </w:r>
      <w:r w:rsidRPr="00736583">
        <w:rPr>
          <w:rFonts w:eastAsia="Times New Roman"/>
          <w:sz w:val="28"/>
          <w:szCs w:val="28"/>
          <w:lang w:eastAsia="ru-RU"/>
        </w:rPr>
        <w:t>тная палата города Нижневартовска</w:t>
      </w:r>
      <w:r w:rsidR="00736583">
        <w:rPr>
          <w:rFonts w:eastAsia="Times New Roman"/>
          <w:sz w:val="28"/>
          <w:szCs w:val="28"/>
          <w:lang w:eastAsia="ru-RU"/>
        </w:rPr>
        <w:t xml:space="preserve"> ( далее-счётная палата, палата)</w:t>
      </w:r>
      <w:r w:rsidRPr="00736583">
        <w:rPr>
          <w:rFonts w:eastAsia="Times New Roman"/>
          <w:sz w:val="28"/>
          <w:szCs w:val="28"/>
          <w:lang w:eastAsia="ru-RU"/>
        </w:rPr>
        <w:t xml:space="preserve"> </w:t>
      </w:r>
      <w:r w:rsidR="006B0ECB" w:rsidRPr="00736583">
        <w:rPr>
          <w:rFonts w:eastAsia="Times New Roman"/>
          <w:sz w:val="28"/>
          <w:szCs w:val="28"/>
          <w:lang w:eastAsia="ru-RU"/>
        </w:rPr>
        <w:t xml:space="preserve">является постоянно действующим органом внешнего </w:t>
      </w:r>
      <w:r w:rsidR="00F706B8" w:rsidRPr="00736583">
        <w:rPr>
          <w:rFonts w:eastAsia="Times New Roman"/>
          <w:sz w:val="28"/>
          <w:szCs w:val="28"/>
          <w:lang w:eastAsia="ru-RU"/>
        </w:rPr>
        <w:t>муниципального ф</w:t>
      </w:r>
      <w:r w:rsidRPr="00736583">
        <w:rPr>
          <w:rFonts w:eastAsia="Times New Roman"/>
          <w:sz w:val="28"/>
          <w:szCs w:val="28"/>
          <w:lang w:eastAsia="ru-RU"/>
        </w:rPr>
        <w:t>инансового контроля, образуемым</w:t>
      </w:r>
      <w:r w:rsidR="00F706B8" w:rsidRPr="00736583">
        <w:rPr>
          <w:rFonts w:eastAsia="Times New Roman"/>
          <w:sz w:val="28"/>
          <w:szCs w:val="28"/>
          <w:lang w:eastAsia="ru-RU"/>
        </w:rPr>
        <w:t xml:space="preserve"> Думой города Н</w:t>
      </w:r>
      <w:r w:rsidRPr="00736583">
        <w:rPr>
          <w:rFonts w:eastAsia="Times New Roman"/>
          <w:sz w:val="28"/>
          <w:szCs w:val="28"/>
          <w:lang w:eastAsia="ru-RU"/>
        </w:rPr>
        <w:t>ижневартовска и подотчетным ей,</w:t>
      </w:r>
      <w:r w:rsidR="00F706B8" w:rsidRPr="00736583">
        <w:rPr>
          <w:sz w:val="28"/>
          <w:szCs w:val="28"/>
        </w:rPr>
        <w:t xml:space="preserve"> органом местного самоуправления, не обладает </w:t>
      </w:r>
      <w:r w:rsidRPr="00736583">
        <w:rPr>
          <w:sz w:val="28"/>
          <w:szCs w:val="28"/>
        </w:rPr>
        <w:t>правами юридического</w:t>
      </w:r>
      <w:r w:rsidR="00F706B8" w:rsidRPr="00736583">
        <w:rPr>
          <w:sz w:val="28"/>
          <w:szCs w:val="28"/>
        </w:rPr>
        <w:t xml:space="preserve"> лица.</w:t>
      </w:r>
      <w:r w:rsidR="00381F68" w:rsidRPr="00736583">
        <w:rPr>
          <w:sz w:val="28"/>
          <w:szCs w:val="28"/>
        </w:rPr>
        <w:t xml:space="preserve"> </w:t>
      </w:r>
    </w:p>
    <w:p w:rsidR="00381F68" w:rsidRPr="00736583" w:rsidRDefault="00381F68" w:rsidP="00736583">
      <w:pPr>
        <w:pStyle w:val="Default"/>
        <w:jc w:val="both"/>
        <w:rPr>
          <w:sz w:val="28"/>
          <w:szCs w:val="28"/>
        </w:rPr>
      </w:pPr>
      <w:r w:rsidRPr="00736583">
        <w:rPr>
          <w:sz w:val="28"/>
          <w:szCs w:val="28"/>
        </w:rPr>
        <w:t xml:space="preserve">   </w:t>
      </w:r>
      <w:r w:rsidR="00736583">
        <w:rPr>
          <w:sz w:val="28"/>
          <w:szCs w:val="28"/>
        </w:rPr>
        <w:t xml:space="preserve">     </w:t>
      </w:r>
      <w:r w:rsidRPr="00736583">
        <w:rPr>
          <w:sz w:val="28"/>
          <w:szCs w:val="28"/>
        </w:rPr>
        <w:t xml:space="preserve">Компетенция и порядок деятельности </w:t>
      </w:r>
      <w:r w:rsidR="00736583">
        <w:rPr>
          <w:sz w:val="28"/>
          <w:szCs w:val="28"/>
        </w:rPr>
        <w:t>счё</w:t>
      </w:r>
      <w:r w:rsidRPr="00736583">
        <w:rPr>
          <w:sz w:val="28"/>
          <w:szCs w:val="28"/>
        </w:rPr>
        <w:t xml:space="preserve">тной палаты определены Бюджетным кодексом РФ (далее – БК РФ), Федеральным законом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Уставом города Нижневартовска, Положением о счётной палате, Регламентом </w:t>
      </w:r>
      <w:r w:rsidR="00736583">
        <w:rPr>
          <w:sz w:val="28"/>
          <w:szCs w:val="28"/>
        </w:rPr>
        <w:t>счё</w:t>
      </w:r>
      <w:r w:rsidRPr="00736583">
        <w:rPr>
          <w:sz w:val="28"/>
          <w:szCs w:val="28"/>
        </w:rPr>
        <w:t>тной палаты, Положением о бюджетном процессе в городе Нижневартовске.</w:t>
      </w:r>
    </w:p>
    <w:p w:rsidR="00381F68" w:rsidRPr="00736583" w:rsidRDefault="00736583" w:rsidP="0073658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1F68" w:rsidRPr="00736583">
        <w:rPr>
          <w:sz w:val="28"/>
          <w:szCs w:val="28"/>
        </w:rPr>
        <w:t>Полномочия  с</w:t>
      </w:r>
      <w:r>
        <w:rPr>
          <w:sz w:val="28"/>
          <w:szCs w:val="28"/>
        </w:rPr>
        <w:t>чё</w:t>
      </w:r>
      <w:r w:rsidR="00381F68" w:rsidRPr="00736583">
        <w:rPr>
          <w:sz w:val="28"/>
          <w:szCs w:val="28"/>
        </w:rPr>
        <w:t xml:space="preserve">тной палаты распространяются на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(эффективности и экономности) и целевого исполнения средств местного бюджета участниками бюджетного процесса в городе Нижневартовске, соблюдения ими правил ведения бюджетного учёта и отчётности, осуществления аудита в сфере закупок и осуществления производства по делам об административных правонарушениях в сфере бюджетного законодательства. </w:t>
      </w:r>
    </w:p>
    <w:p w:rsidR="00381F68" w:rsidRPr="00736583" w:rsidRDefault="00381F68" w:rsidP="00736583">
      <w:pPr>
        <w:pStyle w:val="Default"/>
        <w:ind w:firstLine="709"/>
        <w:jc w:val="both"/>
        <w:rPr>
          <w:sz w:val="28"/>
          <w:szCs w:val="28"/>
        </w:rPr>
      </w:pPr>
      <w:r w:rsidRPr="00736583">
        <w:rPr>
          <w:sz w:val="28"/>
          <w:szCs w:val="28"/>
        </w:rPr>
        <w:t xml:space="preserve">В целях обеспечения единой системы контроля за соблюдением бюджетного процесса в городе Нижневартовске, формированием и исполнением городского бюджета, использованием муниципальной собственности, </w:t>
      </w:r>
      <w:r w:rsidR="00736583">
        <w:rPr>
          <w:sz w:val="28"/>
          <w:szCs w:val="28"/>
        </w:rPr>
        <w:t>счё</w:t>
      </w:r>
      <w:r w:rsidRPr="00736583">
        <w:rPr>
          <w:sz w:val="28"/>
          <w:szCs w:val="28"/>
        </w:rPr>
        <w:t xml:space="preserve">тная палата осуществляет экспертно-аналитическую, контрольно-ревизионную, информационную и иную деятельность. </w:t>
      </w:r>
    </w:p>
    <w:p w:rsidR="00381F68" w:rsidRPr="00736583" w:rsidRDefault="00381F68" w:rsidP="00736583">
      <w:pPr>
        <w:pStyle w:val="Default"/>
        <w:ind w:firstLine="709"/>
        <w:jc w:val="both"/>
        <w:rPr>
          <w:sz w:val="28"/>
          <w:szCs w:val="28"/>
        </w:rPr>
      </w:pPr>
      <w:r w:rsidRPr="00736583">
        <w:rPr>
          <w:sz w:val="28"/>
          <w:szCs w:val="28"/>
        </w:rPr>
        <w:t xml:space="preserve">Деятельность </w:t>
      </w:r>
      <w:r w:rsidR="00C770D2">
        <w:rPr>
          <w:sz w:val="28"/>
          <w:szCs w:val="28"/>
        </w:rPr>
        <w:t>счё</w:t>
      </w:r>
      <w:r w:rsidRPr="00736583">
        <w:rPr>
          <w:sz w:val="28"/>
          <w:szCs w:val="28"/>
        </w:rPr>
        <w:t xml:space="preserve">тной палаты строится на основе годового  плана, который формируется </w:t>
      </w:r>
      <w:r w:rsidRPr="00736583">
        <w:rPr>
          <w:bCs/>
          <w:sz w:val="28"/>
          <w:szCs w:val="28"/>
        </w:rPr>
        <w:t xml:space="preserve">по поручениям </w:t>
      </w:r>
      <w:r w:rsidR="00736583" w:rsidRPr="00736583">
        <w:rPr>
          <w:bCs/>
          <w:sz w:val="28"/>
          <w:szCs w:val="28"/>
        </w:rPr>
        <w:t xml:space="preserve"> председателя</w:t>
      </w:r>
      <w:r w:rsidR="00C770D2">
        <w:rPr>
          <w:bCs/>
          <w:sz w:val="28"/>
          <w:szCs w:val="28"/>
        </w:rPr>
        <w:t xml:space="preserve"> </w:t>
      </w:r>
      <w:r w:rsidR="00C770D2" w:rsidRPr="00736583">
        <w:rPr>
          <w:bCs/>
          <w:sz w:val="28"/>
          <w:szCs w:val="28"/>
        </w:rPr>
        <w:t>Думы города</w:t>
      </w:r>
      <w:r w:rsidR="00736583" w:rsidRPr="00736583">
        <w:rPr>
          <w:bCs/>
          <w:sz w:val="28"/>
          <w:szCs w:val="28"/>
        </w:rPr>
        <w:t xml:space="preserve"> и депутатов</w:t>
      </w:r>
      <w:r w:rsidRPr="00736583">
        <w:rPr>
          <w:bCs/>
          <w:sz w:val="28"/>
          <w:szCs w:val="28"/>
        </w:rPr>
        <w:t xml:space="preserve"> </w:t>
      </w:r>
      <w:r w:rsidR="00736583" w:rsidRPr="00736583">
        <w:rPr>
          <w:bCs/>
          <w:sz w:val="28"/>
          <w:szCs w:val="28"/>
        </w:rPr>
        <w:t xml:space="preserve">Думы </w:t>
      </w:r>
      <w:r w:rsidRPr="00736583">
        <w:rPr>
          <w:bCs/>
          <w:sz w:val="28"/>
          <w:szCs w:val="28"/>
        </w:rPr>
        <w:t xml:space="preserve">города, </w:t>
      </w:r>
      <w:r w:rsidR="00736583" w:rsidRPr="00736583">
        <w:rPr>
          <w:bCs/>
          <w:sz w:val="28"/>
          <w:szCs w:val="28"/>
        </w:rPr>
        <w:t>главы города</w:t>
      </w:r>
      <w:r w:rsidRPr="00736583">
        <w:rPr>
          <w:bCs/>
          <w:sz w:val="28"/>
          <w:szCs w:val="28"/>
        </w:rPr>
        <w:t xml:space="preserve">. </w:t>
      </w:r>
    </w:p>
    <w:p w:rsidR="00381F68" w:rsidRPr="00736583" w:rsidRDefault="00381F68" w:rsidP="00736583">
      <w:pPr>
        <w:pStyle w:val="Default"/>
        <w:ind w:firstLine="709"/>
        <w:jc w:val="both"/>
        <w:rPr>
          <w:sz w:val="28"/>
          <w:szCs w:val="28"/>
        </w:rPr>
      </w:pPr>
      <w:r w:rsidRPr="00736583">
        <w:rPr>
          <w:sz w:val="28"/>
          <w:szCs w:val="28"/>
        </w:rPr>
        <w:t xml:space="preserve">В соответствии с Федеральным законом №6-ФЗ «Об общих принципах организации и деятельности контрольно-счетных органов субъектов Российской Федерации и муниципальных образований» и Положением о </w:t>
      </w:r>
      <w:r w:rsidR="00736583">
        <w:rPr>
          <w:sz w:val="28"/>
          <w:szCs w:val="28"/>
        </w:rPr>
        <w:t>счё</w:t>
      </w:r>
      <w:r w:rsidRPr="00736583">
        <w:rPr>
          <w:sz w:val="28"/>
          <w:szCs w:val="28"/>
        </w:rPr>
        <w:t xml:space="preserve">тной палате годовые планы деятельности в обязательном порядке предусматривают проведение внешней проверки годового отчета об </w:t>
      </w:r>
      <w:r w:rsidRPr="00736583">
        <w:rPr>
          <w:sz w:val="28"/>
          <w:szCs w:val="28"/>
        </w:rPr>
        <w:lastRenderedPageBreak/>
        <w:t xml:space="preserve">исполнении городского бюджета и подготовку заключения по экспертизе проекта бюджета на очередной финансовый год и на плановый период. </w:t>
      </w:r>
    </w:p>
    <w:p w:rsid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отчет подготовлен в соответствии с требованиями статьи 23 </w:t>
      </w:r>
      <w:r w:rsidR="00B72CC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Думы города Нижневартовска от 22.12.2011 №154 «</w:t>
      </w:r>
      <w:r w:rsidR="00B72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 w:rsidR="00B7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контрольно-сч</w:t>
      </w:r>
      <w:r w:rsidR="00B7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тном органе муниципального образования - сч</w:t>
      </w:r>
      <w:r w:rsidR="00C770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тной палате города Нижневартовска»</w:t>
      </w:r>
      <w:r w:rsidR="007365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C54" w:rsidRP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7CC2" w:rsidRPr="00F115D1" w:rsidRDefault="00CA4C54" w:rsidP="008A1691">
      <w:pPr>
        <w:pStyle w:val="a8"/>
        <w:widowControl w:val="0"/>
        <w:numPr>
          <w:ilvl w:val="0"/>
          <w:numId w:val="4"/>
        </w:num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результаты контрольной</w:t>
      </w:r>
    </w:p>
    <w:p w:rsidR="00CA4C54" w:rsidRPr="00F115D1" w:rsidRDefault="00CA4C54" w:rsidP="00287CC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экспертно-аналитической деятельности</w:t>
      </w:r>
    </w:p>
    <w:p w:rsidR="00CA4C54" w:rsidRPr="00CA4C54" w:rsidRDefault="00CA4C54" w:rsidP="00CA4C54">
      <w:pPr>
        <w:widowControl w:val="0"/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5231" w:rsidRDefault="00152221" w:rsidP="00E415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деятельности, перечень объектов проверок, составляющие контрольную и экспертно-ан</w:t>
      </w:r>
      <w:r w:rsidR="000D34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алитическую деятельность на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определено </w:t>
      </w:r>
      <w:r w:rsidR="00E4154D" w:rsidRP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с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>чё</w:t>
      </w:r>
      <w:r w:rsidR="00E4154D" w:rsidRP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154D" w:rsidRP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Нижневартовска от 22.12.2016 № 11 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154D" w:rsidRP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ерждении работы контрольно – счё</w:t>
      </w:r>
      <w:r w:rsidR="00E4154D" w:rsidRP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органа 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– счё</w:t>
      </w:r>
      <w:r w:rsidR="00E4154D" w:rsidRP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города Нижневартовска на 2017 год </w:t>
      </w:r>
      <w:r w:rsidR="00B72CC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C5231">
        <w:rPr>
          <w:rFonts w:ascii="Times New Roman" w:eastAsia="Times New Roman" w:hAnsi="Times New Roman" w:cs="Times New Roman"/>
          <w:sz w:val="28"/>
          <w:szCs w:val="28"/>
          <w:lang w:eastAsia="ru-RU"/>
        </w:rPr>
        <w:t>с изменениями).</w:t>
      </w:r>
    </w:p>
    <w:p w:rsidR="00531122" w:rsidRDefault="00531122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каждого контрольного и экспертно-аналитического мероприятия анализировалось соблюдение требований законодательства в сфере бюджетных правоотношений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регулирование соответствующих правоотношений на местном уровне в соответствии с установленными полномочиями органов местного самоуправления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Изучение нормативных актов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рактик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применения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</w:t>
      </w:r>
      <w:r w:rsidR="00E4154D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полноту регламентации деятельности органов местного самоуправления, учреждений и организаций различны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организационно-правовых форм, а также </w:t>
      </w:r>
      <w:r w:rsidR="00B13DE7" w:rsidRP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выявить некоторые пробелы и противоречия в установленном 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местном уровне </w:t>
      </w:r>
      <w:r w:rsidR="00B13DE7" w:rsidRP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нормативном регулировании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правоотношений.</w:t>
      </w:r>
    </w:p>
    <w:p w:rsidR="0098132F" w:rsidRDefault="00531122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="00F706B8" w:rsidRPr="00F706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тематика мероприятий счё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 касалась актуальных проблем социально-экономического развития города. Проверены вопросы 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деятельности </w:t>
      </w:r>
      <w:r w:rsidR="00083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2-х муниципальных унитарных предприятий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 открытых акционерных обществ, а также вопросы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законности и эффективности исп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ользования средств, направленных на 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освободившихся жилых помещений муниципального жилого фонда в 2014-2016 годах, на организацию летнего отдыха детей и молодежи, на 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психолого-педагогической комиссии, действующей в сфере образования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 w:rsidR="0098132F" w:rsidRPr="009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компенсацию оплаты стоимости проезда и провоза багажа к месту использования отпуска и обратно работников 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</w:t>
      </w:r>
      <w:r w:rsidR="00B13D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1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реализацию трех муниципальных программ города. </w:t>
      </w:r>
    </w:p>
    <w:p w:rsidR="00CA4C54" w:rsidRDefault="00531122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отчетном году наблюдается</w:t>
      </w:r>
      <w:r w:rsidR="009813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655">
        <w:rPr>
          <w:rFonts w:ascii="Times New Roman" w:eastAsia="Calibri" w:hAnsi="Times New Roman" w:cs="Times New Roman"/>
          <w:sz w:val="28"/>
          <w:szCs w:val="28"/>
        </w:rPr>
        <w:t>усилени</w:t>
      </w:r>
      <w:r w:rsidR="008C107E">
        <w:rPr>
          <w:rFonts w:ascii="Times New Roman" w:eastAsia="Calibri" w:hAnsi="Times New Roman" w:cs="Times New Roman"/>
          <w:sz w:val="28"/>
          <w:szCs w:val="28"/>
        </w:rPr>
        <w:t>е</w:t>
      </w:r>
      <w:r w:rsidR="006A4655">
        <w:rPr>
          <w:rFonts w:ascii="Times New Roman" w:eastAsia="Calibri" w:hAnsi="Times New Roman" w:cs="Times New Roman"/>
          <w:sz w:val="28"/>
          <w:szCs w:val="28"/>
        </w:rPr>
        <w:t xml:space="preserve"> акцента на аналитическом направлении работы</w:t>
      </w:r>
      <w:r w:rsidR="008C107E">
        <w:rPr>
          <w:rFonts w:ascii="Times New Roman" w:eastAsia="Calibri" w:hAnsi="Times New Roman" w:cs="Times New Roman"/>
          <w:sz w:val="28"/>
          <w:szCs w:val="28"/>
        </w:rPr>
        <w:t xml:space="preserve">, в части объема проводимых экспертно-аналитических мероприятий, а также включения элементов анализа эффективности расходования бюджетных средств в рамках проводимых контрольных мероприятий. Указанный симбиоз </w:t>
      </w:r>
      <w:r w:rsidR="007817F1">
        <w:rPr>
          <w:rFonts w:ascii="Times New Roman" w:eastAsia="Calibri" w:hAnsi="Times New Roman" w:cs="Times New Roman"/>
          <w:sz w:val="28"/>
          <w:szCs w:val="28"/>
        </w:rPr>
        <w:t xml:space="preserve">способствует всестороннему полному контролю расходования бюджетных средств и оценки его эффективности. Кроме того повышенное внимание направлено на проведение экспертиз </w:t>
      </w:r>
      <w:r w:rsidR="007817F1">
        <w:rPr>
          <w:rFonts w:ascii="Times New Roman" w:eastAsia="Calibri" w:hAnsi="Times New Roman" w:cs="Times New Roman"/>
          <w:sz w:val="28"/>
          <w:szCs w:val="28"/>
        </w:rPr>
        <w:lastRenderedPageBreak/>
        <w:t>проектов муниципальных правовых актов, в том числе проекта решения о бюджете, в целях предварительного предупреждения нарушений бюджетного законодательства, а также недопущения неэффективного использования бюджетных средств.</w:t>
      </w:r>
    </w:p>
    <w:p w:rsidR="00ED5BB1" w:rsidRPr="00736583" w:rsidRDefault="000E1F43" w:rsidP="007365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Значительное</w:t>
      </w:r>
      <w:r w:rsidR="006A4655">
        <w:rPr>
          <w:rFonts w:ascii="Times New Roman" w:eastAsia="Calibri" w:hAnsi="Times New Roman" w:cs="Times New Roman"/>
          <w:sz w:val="28"/>
          <w:szCs w:val="28"/>
        </w:rPr>
        <w:t xml:space="preserve"> внимание уделено реализаций полномочий по аудиту в сфере закупок, предусмотренных статьей 98 </w:t>
      </w:r>
      <w:r w:rsidR="007C23FF">
        <w:rPr>
          <w:rFonts w:ascii="Times New Roman" w:eastAsia="Calibri" w:hAnsi="Times New Roman" w:cs="Times New Roman"/>
          <w:sz w:val="28"/>
          <w:szCs w:val="28"/>
        </w:rPr>
        <w:t>Федерального з</w:t>
      </w:r>
      <w:r w:rsidR="006A4655">
        <w:rPr>
          <w:rFonts w:ascii="Times New Roman" w:eastAsia="Calibri" w:hAnsi="Times New Roman" w:cs="Times New Roman"/>
          <w:sz w:val="28"/>
          <w:szCs w:val="28"/>
        </w:rPr>
        <w:t>акона №44-ФЗ «О контрактной системе в сфере закупок товаров, работ, услуг для обеспечения государственных и муниципальных нужд»</w:t>
      </w:r>
      <w:r w:rsidR="00B72CC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0D34C1">
        <w:rPr>
          <w:rFonts w:ascii="Times New Roman" w:eastAsia="Calibri" w:hAnsi="Times New Roman" w:cs="Times New Roman"/>
          <w:sz w:val="28"/>
          <w:szCs w:val="28"/>
        </w:rPr>
        <w:t xml:space="preserve">далее </w:t>
      </w:r>
      <w:r w:rsidR="007C23FF">
        <w:rPr>
          <w:rFonts w:ascii="Times New Roman" w:eastAsia="Calibri" w:hAnsi="Times New Roman" w:cs="Times New Roman"/>
          <w:sz w:val="28"/>
          <w:szCs w:val="28"/>
        </w:rPr>
        <w:t>–</w:t>
      </w:r>
      <w:r w:rsidR="000D34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3FF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 w:rsidR="000D34C1">
        <w:rPr>
          <w:rFonts w:ascii="Times New Roman" w:eastAsia="Calibri" w:hAnsi="Times New Roman" w:cs="Times New Roman"/>
          <w:sz w:val="28"/>
          <w:szCs w:val="28"/>
        </w:rPr>
        <w:t>№44-ФЗ)</w:t>
      </w:r>
      <w:r w:rsidR="0073658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4655" w:rsidRPr="00CA4C54" w:rsidRDefault="00736583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Коллегией счё</w:t>
      </w:r>
      <w:r w:rsidR="006A4655">
        <w:rPr>
          <w:rFonts w:ascii="Times New Roman" w:eastAsia="Calibri" w:hAnsi="Times New Roman" w:cs="Times New Roman"/>
          <w:sz w:val="28"/>
          <w:szCs w:val="28"/>
        </w:rPr>
        <w:t xml:space="preserve">тной палаты продолжена работа по совершенствованию методик деятельности палаты и внедрению современных подходов к исполнению контрольных функций. Разрабатывались и утверждались </w:t>
      </w:r>
      <w:r w:rsidR="00897E38">
        <w:rPr>
          <w:rFonts w:ascii="Times New Roman" w:eastAsia="Calibri" w:hAnsi="Times New Roman" w:cs="Times New Roman"/>
          <w:sz w:val="28"/>
          <w:szCs w:val="28"/>
        </w:rPr>
        <w:t xml:space="preserve">стандарты внешнего муниципального финансового контроля и </w:t>
      </w:r>
      <w:r w:rsidR="000E1F43">
        <w:rPr>
          <w:rFonts w:ascii="Times New Roman" w:eastAsia="Calibri" w:hAnsi="Times New Roman" w:cs="Times New Roman"/>
          <w:sz w:val="28"/>
          <w:szCs w:val="28"/>
        </w:rPr>
        <w:t>методические рекомендации</w:t>
      </w:r>
      <w:r w:rsidR="006A4655">
        <w:rPr>
          <w:rFonts w:ascii="Times New Roman" w:eastAsia="Calibri" w:hAnsi="Times New Roman" w:cs="Times New Roman"/>
          <w:sz w:val="28"/>
          <w:szCs w:val="28"/>
        </w:rPr>
        <w:t>, охватывающи</w:t>
      </w:r>
      <w:r>
        <w:rPr>
          <w:rFonts w:ascii="Times New Roman" w:eastAsia="Calibri" w:hAnsi="Times New Roman" w:cs="Times New Roman"/>
          <w:sz w:val="28"/>
          <w:szCs w:val="28"/>
        </w:rPr>
        <w:t>е новые области деятельности счё</w:t>
      </w:r>
      <w:r w:rsidR="006A4655">
        <w:rPr>
          <w:rFonts w:ascii="Times New Roman" w:eastAsia="Calibri" w:hAnsi="Times New Roman" w:cs="Times New Roman"/>
          <w:sz w:val="28"/>
          <w:szCs w:val="28"/>
        </w:rPr>
        <w:t>тной палаты, совершенствовались действующие стандарты, прошедшие проверку практикой их применения.</w:t>
      </w:r>
    </w:p>
    <w:p w:rsidR="00736583" w:rsidRDefault="00CA4C54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 201</w:t>
      </w:r>
      <w:r w:rsidR="000E1F43"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проведено</w:t>
      </w:r>
      <w:r w:rsidR="007A680E"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з</w:t>
      </w:r>
      <w:r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аседан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Коллегии счё</w:t>
      </w:r>
      <w:r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палаты, на которых рассмотрено 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вопросов: </w:t>
      </w:r>
      <w:r w:rsidR="001C21AA"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</w:t>
      </w:r>
      <w:r w:rsidRP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стандартов внешнего финансового контроля, планов работы счетной палаты и ежегодн</w:t>
      </w:r>
      <w:r w:rsidR="008564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отчета о проделанной работе, 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контрольных и экспертно-аналитических мероприятий.</w:t>
      </w:r>
    </w:p>
    <w:p w:rsidR="00CA4C54" w:rsidRPr="00CA4C54" w:rsidRDefault="00CA4C54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>Хотелос</w:t>
      </w:r>
      <w:r w:rsidR="00B72CC0">
        <w:rPr>
          <w:rFonts w:ascii="Times New Roman" w:eastAsia="Calibri" w:hAnsi="Times New Roman" w:cs="Times New Roman"/>
          <w:sz w:val="28"/>
          <w:szCs w:val="28"/>
        </w:rPr>
        <w:t xml:space="preserve">ь бы отметить, что проверки </w:t>
      </w:r>
      <w:r w:rsidR="00736583">
        <w:rPr>
          <w:rFonts w:ascii="Times New Roman" w:eastAsia="Calibri" w:hAnsi="Times New Roman" w:cs="Times New Roman"/>
          <w:sz w:val="28"/>
          <w:szCs w:val="28"/>
        </w:rPr>
        <w:t>счё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тной палаты были ориентированы на оказание практической помощи </w:t>
      </w:r>
      <w:r w:rsidR="001C21AA">
        <w:rPr>
          <w:rFonts w:ascii="Times New Roman" w:eastAsia="Calibri" w:hAnsi="Times New Roman" w:cs="Times New Roman"/>
          <w:sz w:val="28"/>
          <w:szCs w:val="28"/>
        </w:rPr>
        <w:t>объектам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 проверок в части прав</w:t>
      </w:r>
      <w:r w:rsidR="00B72CC0">
        <w:rPr>
          <w:rFonts w:ascii="Times New Roman" w:eastAsia="Calibri" w:hAnsi="Times New Roman" w:cs="Times New Roman"/>
          <w:sz w:val="28"/>
          <w:szCs w:val="28"/>
        </w:rPr>
        <w:t xml:space="preserve">ильного ведения бухгалтерского </w:t>
      </w:r>
      <w:r w:rsidRPr="00CA4C54">
        <w:rPr>
          <w:rFonts w:ascii="Times New Roman" w:eastAsia="Calibri" w:hAnsi="Times New Roman" w:cs="Times New Roman"/>
          <w:sz w:val="28"/>
          <w:szCs w:val="28"/>
        </w:rPr>
        <w:t>уч</w:t>
      </w:r>
      <w:r w:rsidR="00B72CC0">
        <w:rPr>
          <w:rFonts w:ascii="Times New Roman" w:eastAsia="Calibri" w:hAnsi="Times New Roman" w:cs="Times New Roman"/>
          <w:sz w:val="28"/>
          <w:szCs w:val="28"/>
        </w:rPr>
        <w:t>е</w:t>
      </w:r>
      <w:r w:rsidRPr="00CA4C54">
        <w:rPr>
          <w:rFonts w:ascii="Times New Roman" w:eastAsia="Calibri" w:hAnsi="Times New Roman" w:cs="Times New Roman"/>
          <w:sz w:val="28"/>
          <w:szCs w:val="28"/>
        </w:rPr>
        <w:t>та, бюджетной отч</w:t>
      </w:r>
      <w:r w:rsidR="00B72CC0">
        <w:rPr>
          <w:rFonts w:ascii="Times New Roman" w:eastAsia="Calibri" w:hAnsi="Times New Roman" w:cs="Times New Roman"/>
          <w:sz w:val="28"/>
          <w:szCs w:val="28"/>
        </w:rPr>
        <w:t>е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тности, соблюдения требований федерального и окружного законодательства при </w:t>
      </w:r>
      <w:r w:rsidR="007C23FF" w:rsidRPr="00CA4C54">
        <w:rPr>
          <w:rFonts w:ascii="Times New Roman" w:eastAsia="Calibri" w:hAnsi="Times New Roman" w:cs="Times New Roman"/>
          <w:sz w:val="28"/>
          <w:szCs w:val="28"/>
        </w:rPr>
        <w:t>использовании муниципального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 имущества, земельных ресурсов, организации закупок товаров, работ и услуг для муниципальных нужд.</w:t>
      </w:r>
    </w:p>
    <w:p w:rsidR="00CA4C54" w:rsidRPr="00CA4C54" w:rsidRDefault="00CA4C54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основных показателей, характеризующих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сч</w:t>
      </w:r>
      <w:r w:rsidR="0073658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с 201</w:t>
      </w:r>
      <w:r w:rsid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C21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годы, приведена в таблице 1.1.</w:t>
      </w:r>
    </w:p>
    <w:p w:rsidR="00E269A7" w:rsidRPr="00CA4C54" w:rsidRDefault="00E269A7" w:rsidP="00CA4C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54" w:rsidRPr="00CA4C54" w:rsidRDefault="00CA4C54" w:rsidP="00CA4C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1.1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86"/>
        <w:gridCol w:w="567"/>
        <w:gridCol w:w="1559"/>
        <w:gridCol w:w="1418"/>
        <w:gridCol w:w="1242"/>
        <w:gridCol w:w="175"/>
      </w:tblGrid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ind w:firstLine="851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Показатель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2017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Проведено контрольных и экспертно-аналитических мероприятий,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145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159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проведено экспертно-аналитических мероприятий;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115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133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проведено контрольных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8564F9" w:rsidRPr="00467DB4" w:rsidTr="00C770D2">
        <w:trPr>
          <w:trHeight w:val="20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Выявлено нарушений в финансово-бюджетной сфере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212,5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186,6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158,8</w:t>
            </w:r>
          </w:p>
        </w:tc>
      </w:tr>
      <w:tr w:rsidR="008564F9" w:rsidRPr="00467DB4" w:rsidTr="00C770D2">
        <w:trPr>
          <w:trHeight w:val="20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Охвачено контрольными мероприятиями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8A1691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71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5E51A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Устранено и предотвращено нарушений по результатам проверок палаты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DB4">
              <w:rPr>
                <w:rFonts w:ascii="Times New Roman" w:eastAsia="Times New Roman" w:hAnsi="Times New Roman" w:cs="Times New Roman"/>
                <w:sz w:val="24"/>
                <w:szCs w:val="24"/>
              </w:rPr>
              <w:t>57,3/14,1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7DB4">
              <w:rPr>
                <w:rFonts w:ascii="Times New Roman" w:eastAsia="Times New Roman" w:hAnsi="Times New Roman" w:cs="Times New Roman"/>
                <w:sz w:val="24"/>
                <w:szCs w:val="24"/>
              </w:rPr>
              <w:t>65,0/52,7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1691">
              <w:rPr>
                <w:rFonts w:ascii="Times New Roman" w:eastAsia="Times New Roman" w:hAnsi="Times New Roman" w:cs="Times New Roman"/>
                <w:sz w:val="24"/>
                <w:szCs w:val="24"/>
              </w:rPr>
              <w:t>71,3/39,1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Штатная численность утвержденная/факт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Фактические затраты на содержание палаты (млн.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25,5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26,3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направленных представлений и предписаний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8564F9" w:rsidRPr="00467DB4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467DB4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материалов, направленных в органы прокуратуры, иные правоохранительные органы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467DB4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67DB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8564F9" w:rsidRPr="001C21AA" w:rsidTr="00C770D2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64F9" w:rsidRPr="0072064E" w:rsidRDefault="008564F9" w:rsidP="00CA4C5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64E">
              <w:rPr>
                <w:rFonts w:ascii="Times New Roman" w:eastAsia="Times New Roman" w:hAnsi="Times New Roman" w:cs="Times New Roman"/>
                <w:sz w:val="26"/>
                <w:szCs w:val="26"/>
              </w:rPr>
              <w:t>К</w:t>
            </w:r>
            <w:r w:rsidR="0072064E" w:rsidRPr="007206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оличество возбужденных </w:t>
            </w:r>
            <w:r w:rsidRPr="007206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дел</w:t>
            </w:r>
            <w:r w:rsidR="0072064E" w:rsidRPr="0072064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72064E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64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4F9" w:rsidRPr="0072064E" w:rsidRDefault="008564F9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064E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4F9" w:rsidRPr="008A1691" w:rsidRDefault="0072064E" w:rsidP="00CA4C5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A169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855F99" w:rsidTr="00C770D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gridAfter w:val="1"/>
          <w:wAfter w:w="175" w:type="dxa"/>
          <w:trHeight w:val="109"/>
        </w:trPr>
        <w:tc>
          <w:tcPr>
            <w:tcW w:w="4786" w:type="dxa"/>
          </w:tcPr>
          <w:p w:rsidR="00855F99" w:rsidRDefault="00855F99" w:rsidP="0033317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786" w:type="dxa"/>
            <w:gridSpan w:val="4"/>
          </w:tcPr>
          <w:p w:rsidR="00855F99" w:rsidRDefault="00855F99" w:rsidP="00333175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2064E" w:rsidRPr="00C770D2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0D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контрольные и экспертно-аналитические мероприятия, предусмотренные план</w:t>
      </w:r>
      <w:r w:rsid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работы счё</w:t>
      </w:r>
      <w:r w:rsidR="001C21AA" w:rsidRPr="00C770D2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на 2017</w:t>
      </w:r>
      <w:r w:rsidRPr="00C77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в отчетном году выполнены.</w:t>
      </w:r>
      <w:r w:rsidR="0072064E" w:rsidRPr="00C770D2">
        <w:rPr>
          <w:rFonts w:ascii="Times New Roman" w:hAnsi="Times New Roman" w:cs="Times New Roman"/>
          <w:sz w:val="28"/>
          <w:szCs w:val="28"/>
        </w:rPr>
        <w:t xml:space="preserve"> Количество проведенных в 2017 году контрольных и экспертно-аналитических мероприятий увеличилось к уровню 2016 года на 9,7%.</w:t>
      </w:r>
    </w:p>
    <w:p w:rsidR="00972452" w:rsidRDefault="00A25572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счё</w:t>
      </w:r>
      <w:r w:rsidR="00B72CC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тная палата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выделяла специалистов</w:t>
      </w:r>
      <w:r w:rsidR="00976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прокуратуре города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</w:t>
      </w:r>
      <w:r w:rsidR="0097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16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7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проверках и охвачено было контрольными мероприятиями </w:t>
      </w:r>
      <w:r w:rsidR="008A1691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972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объектов.</w:t>
      </w:r>
    </w:p>
    <w:p w:rsidR="00855F99" w:rsidRPr="00A25572" w:rsidRDefault="008C60DB" w:rsidP="00467DB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</w:t>
      </w:r>
      <w:r w:rsidR="0072064E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B72CC0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3FF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</w:t>
      </w:r>
      <w:r w:rsidR="00CA4C54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мероприятий, с учетом встречных пр</w:t>
      </w:r>
      <w:r w:rsidR="007A6EFF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оверок, </w:t>
      </w:r>
      <w:r w:rsidR="0078507F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проведены </w:t>
      </w:r>
      <w:r w:rsidR="0072064E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63</w:t>
      </w:r>
      <w:r w:rsidR="00CA4C54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учреждениях и организациях, кроме того внешней проверкой годово</w:t>
      </w:r>
      <w:r w:rsidR="007A6EFF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отчетности были охвачены все </w:t>
      </w:r>
      <w:r w:rsidR="00A25572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5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C54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главных распорядителей бюджетных ср</w:t>
      </w:r>
      <w:r w:rsidR="00B72CC0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 (далее-ГРБС)</w:t>
      </w:r>
      <w:r w:rsidR="00855F99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15D1" w:rsidRDefault="00CA4C54" w:rsidP="00CA4C5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периоде контрольными мероприятиями охва</w:t>
      </w:r>
      <w:r w:rsidR="00CF4D58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чены средства на общую сумму</w:t>
      </w:r>
      <w:r w:rsidR="0078507F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F99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3,7</w:t>
      </w:r>
      <w:r w:rsidR="0078507F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 рублей, без учета </w:t>
      </w:r>
      <w:r w:rsidR="00855F99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15,7</w:t>
      </w: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млрд.</w:t>
      </w:r>
      <w:r w:rsidR="00287CC2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- средства, подлежащие контролю в рамках внешней проверки бюджетной отчетности главных администраторов бюджетных средс</w:t>
      </w:r>
      <w:r w:rsidR="00855F99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тв города Нижневартовска за 2016</w:t>
      </w: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CA4C54" w:rsidRPr="00CA4C54" w:rsidRDefault="00CA4C54" w:rsidP="00CA4C5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572">
        <w:rPr>
          <w:rFonts w:ascii="Times New Roman" w:eastAsia="Calibri" w:hAnsi="Times New Roman" w:cs="Times New Roman"/>
          <w:sz w:val="28"/>
          <w:szCs w:val="28"/>
        </w:rPr>
        <w:t>Динамика за ряд лет приведена на рисунке 1.</w:t>
      </w:r>
    </w:p>
    <w:p w:rsidR="00467DB4" w:rsidRPr="00467DB4" w:rsidRDefault="00467DB4" w:rsidP="00CA4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CA4C54" w:rsidRPr="00CA4C54" w:rsidRDefault="00CA4C54" w:rsidP="00CA4C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>Рисунок 1. Объ</w:t>
      </w:r>
      <w:r w:rsidR="00B72CC0">
        <w:rPr>
          <w:rFonts w:ascii="Times New Roman" w:eastAsia="Calibri" w:hAnsi="Times New Roman" w:cs="Times New Roman"/>
          <w:sz w:val="28"/>
          <w:szCs w:val="28"/>
        </w:rPr>
        <w:t>е</w:t>
      </w:r>
      <w:r w:rsidRPr="00CA4C54">
        <w:rPr>
          <w:rFonts w:ascii="Times New Roman" w:eastAsia="Calibri" w:hAnsi="Times New Roman" w:cs="Times New Roman"/>
          <w:sz w:val="28"/>
          <w:szCs w:val="28"/>
        </w:rPr>
        <w:t>м средств, охваченных проверками исследованиями,</w:t>
      </w:r>
    </w:p>
    <w:p w:rsidR="00CA4C54" w:rsidRPr="00CA4C54" w:rsidRDefault="00CA4C54" w:rsidP="00CA4C5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 млрд. рублей</w:t>
      </w:r>
    </w:p>
    <w:p w:rsidR="00CA4C54" w:rsidRPr="00CA4C54" w:rsidRDefault="00CA4C54" w:rsidP="00CA4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C54" w:rsidRPr="00FC5D7F" w:rsidRDefault="00CA4C54" w:rsidP="00CA4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ab/>
      </w:r>
      <w:r w:rsidR="00855F99" w:rsidRPr="008A1691">
        <w:rPr>
          <w:rFonts w:ascii="Times New Roman" w:eastAsia="Calibri" w:hAnsi="Times New Roman" w:cs="Times New Roman"/>
          <w:b/>
          <w:sz w:val="28"/>
          <w:szCs w:val="28"/>
        </w:rPr>
        <w:t>6,1</w:t>
      </w:r>
      <w:r w:rsidRPr="008A169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</w:t>
      </w:r>
      <w:r w:rsidR="00855F99" w:rsidRPr="008A1691">
        <w:rPr>
          <w:rFonts w:ascii="Times New Roman" w:eastAsia="Calibri" w:hAnsi="Times New Roman" w:cs="Times New Roman"/>
          <w:b/>
          <w:sz w:val="28"/>
          <w:szCs w:val="28"/>
        </w:rPr>
        <w:t>3,4</w:t>
      </w:r>
      <w:r w:rsidRPr="008A169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855F99" w:rsidRPr="008A1691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8A1691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="00855F99" w:rsidRPr="008A1691">
        <w:rPr>
          <w:rFonts w:ascii="Times New Roman" w:eastAsia="Calibri" w:hAnsi="Times New Roman" w:cs="Times New Roman"/>
          <w:b/>
          <w:sz w:val="28"/>
          <w:szCs w:val="28"/>
        </w:rPr>
        <w:t>3,7</w:t>
      </w:r>
    </w:p>
    <w:p w:rsidR="00CA4C54" w:rsidRPr="00CA4C54" w:rsidRDefault="00CF4D58" w:rsidP="00CA4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5D7F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25A25" wp14:editId="2FB90227">
                <wp:simplePos x="0" y="0"/>
                <wp:positionH relativeFrom="column">
                  <wp:posOffset>4692015</wp:posOffset>
                </wp:positionH>
                <wp:positionV relativeFrom="paragraph">
                  <wp:posOffset>201930</wp:posOffset>
                </wp:positionV>
                <wp:extent cx="1095375" cy="269240"/>
                <wp:effectExtent l="0" t="0" r="28575" b="16510"/>
                <wp:wrapNone/>
                <wp:docPr id="23" name="Блок-схема: магнитный дис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5375" cy="269240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5E92522C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Блок-схема: магнитный диск 23" o:spid="_x0000_s1026" type="#_x0000_t132" style="position:absolute;margin-left:369.45pt;margin-top:15.9pt;width:86.25pt;height:2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" fillcolor="#4f81bd" strokecolor="#385d8a" strokeweight="2pt">
                <v:path arrowok="t"/>
              </v:shape>
            </w:pict>
          </mc:Fallback>
        </mc:AlternateContent>
      </w:r>
      <w:r w:rsidRPr="00FC5D7F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45B4C" wp14:editId="417F573D">
                <wp:simplePos x="0" y="0"/>
                <wp:positionH relativeFrom="column">
                  <wp:posOffset>2644140</wp:posOffset>
                </wp:positionH>
                <wp:positionV relativeFrom="paragraph">
                  <wp:posOffset>-635</wp:posOffset>
                </wp:positionV>
                <wp:extent cx="1171575" cy="535940"/>
                <wp:effectExtent l="0" t="0" r="28575" b="16510"/>
                <wp:wrapNone/>
                <wp:docPr id="24" name="Блок-схема: магнитный дис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1575" cy="535940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3F47E74" id="Блок-схема: магнитный диск 24" o:spid="_x0000_s1026" type="#_x0000_t132" style="position:absolute;margin-left:208.2pt;margin-top:-.05pt;width:92.25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" fillcolor="#4f81bd" strokecolor="#385d8a" strokeweight="2pt">
                <v:path arrowok="t"/>
              </v:shape>
            </w:pict>
          </mc:Fallback>
        </mc:AlternateContent>
      </w:r>
      <w:r w:rsidRPr="00FC5D7F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296D3" wp14:editId="0EA10A6D">
                <wp:simplePos x="0" y="0"/>
                <wp:positionH relativeFrom="column">
                  <wp:posOffset>253365</wp:posOffset>
                </wp:positionH>
                <wp:positionV relativeFrom="paragraph">
                  <wp:posOffset>132715</wp:posOffset>
                </wp:positionV>
                <wp:extent cx="1085850" cy="402590"/>
                <wp:effectExtent l="0" t="0" r="19050" b="16510"/>
                <wp:wrapNone/>
                <wp:docPr id="25" name="Блок-схема: магнитный дис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402590"/>
                        </a:xfrm>
                        <a:prstGeom prst="flowChartMagneticDisk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6A3EFA" id="Блок-схема: магнитный диск 25" o:spid="_x0000_s1026" type="#_x0000_t132" style="position:absolute;margin-left:19.95pt;margin-top:10.45pt;width:85.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" fillcolor="#4f81bd" strokecolor="#385d8a" strokeweight="2pt">
                <v:path arrowok="t"/>
              </v:shape>
            </w:pict>
          </mc:Fallback>
        </mc:AlternateContent>
      </w:r>
    </w:p>
    <w:p w:rsidR="00CA4C54" w:rsidRPr="00CA4C54" w:rsidRDefault="00CA4C54" w:rsidP="00CA4C54">
      <w:pPr>
        <w:tabs>
          <w:tab w:val="left" w:pos="3720"/>
          <w:tab w:val="left" w:pos="63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ab/>
      </w:r>
      <w:r w:rsidRPr="00CA4C54">
        <w:rPr>
          <w:rFonts w:ascii="Times New Roman" w:eastAsia="Calibri" w:hAnsi="Times New Roman" w:cs="Times New Roman"/>
          <w:sz w:val="28"/>
          <w:szCs w:val="28"/>
        </w:rPr>
        <w:tab/>
      </w:r>
    </w:p>
    <w:p w:rsidR="00CA4C54" w:rsidRPr="00CA4C54" w:rsidRDefault="00CA4C54" w:rsidP="00CA4C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C54" w:rsidRPr="00CA4C54" w:rsidRDefault="00CA4C54" w:rsidP="00CA4C5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855F99">
        <w:rPr>
          <w:rFonts w:ascii="Times New Roman" w:eastAsia="Calibri" w:hAnsi="Times New Roman" w:cs="Times New Roman"/>
          <w:b/>
          <w:sz w:val="28"/>
          <w:szCs w:val="28"/>
        </w:rPr>
        <w:t>2015</w:t>
      </w:r>
      <w:r w:rsidRPr="00CA4C5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</w:t>
      </w:r>
      <w:r w:rsidR="00CF4D5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</w:t>
      </w:r>
      <w:r w:rsidR="00855F99">
        <w:rPr>
          <w:rFonts w:ascii="Times New Roman" w:eastAsia="Calibri" w:hAnsi="Times New Roman" w:cs="Times New Roman"/>
          <w:b/>
          <w:sz w:val="28"/>
          <w:szCs w:val="28"/>
        </w:rPr>
        <w:t>2016</w:t>
      </w:r>
      <w:r w:rsidRPr="00CA4C5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</w:t>
      </w:r>
      <w:r w:rsidR="00CF4D5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855F99">
        <w:rPr>
          <w:rFonts w:ascii="Times New Roman" w:eastAsia="Calibri" w:hAnsi="Times New Roman" w:cs="Times New Roman"/>
          <w:b/>
          <w:sz w:val="28"/>
          <w:szCs w:val="28"/>
        </w:rPr>
        <w:t xml:space="preserve">      2017</w:t>
      </w:r>
      <w:r w:rsidRPr="00CA4C5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CA4C54" w:rsidRPr="00CA4C54" w:rsidRDefault="00CA4C54" w:rsidP="00CA4C54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ab/>
      </w:r>
    </w:p>
    <w:p w:rsidR="00CA4C54" w:rsidRPr="00CA4C54" w:rsidRDefault="00CA4C54" w:rsidP="00CA4C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проведенных проверок и анализов установлены нарушения на общую сумму </w:t>
      </w:r>
      <w:r w:rsidR="00855F99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158,8 </w:t>
      </w: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 руб.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34C1" w:rsidRPr="00467DB4" w:rsidRDefault="000D34C1" w:rsidP="00CA4C54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F115D1" w:rsidRDefault="00F115D1" w:rsidP="00CA4C54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15D1" w:rsidRDefault="00F115D1" w:rsidP="00CA4C54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15D1" w:rsidRDefault="00F115D1" w:rsidP="00CA4C54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15D1" w:rsidRDefault="00F115D1" w:rsidP="00CA4C54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4C54" w:rsidRPr="00287CC2" w:rsidRDefault="00CA4C54" w:rsidP="00CA4C54">
      <w:pPr>
        <w:spacing w:after="2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Струк</w:t>
      </w:r>
      <w:r w:rsidR="00CF4D58" w:rsidRPr="0028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 выя</w:t>
      </w:r>
      <w:r w:rsidR="00855F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вленных нарушений в 2017</w:t>
      </w:r>
      <w:r w:rsidR="00D33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году, млн</w:t>
      </w:r>
      <w:r w:rsidRPr="0028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A6E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87C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рублей.</w:t>
      </w:r>
    </w:p>
    <w:p w:rsidR="00CA4C54" w:rsidRPr="00CA4C54" w:rsidRDefault="00B72CC0" w:rsidP="00CA4C54">
      <w:pPr>
        <w:spacing w:after="2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(таблица 1.3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4C54" w:rsidRPr="00CA4C54" w:rsidRDefault="00CA4C54" w:rsidP="00CA4C54">
      <w:pPr>
        <w:spacing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D7F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 wp14:anchorId="5F09D1FF" wp14:editId="16CA05B8">
            <wp:extent cx="5943600" cy="22288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A4C54" w:rsidRP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79C8" w:rsidRPr="00A25572" w:rsidRDefault="0016355B" w:rsidP="00A25572">
      <w:pPr>
        <w:pStyle w:val="Default"/>
        <w:ind w:firstLine="709"/>
        <w:jc w:val="both"/>
        <w:rPr>
          <w:sz w:val="28"/>
          <w:szCs w:val="28"/>
        </w:rPr>
      </w:pPr>
      <w:r w:rsidRPr="00A25572">
        <w:rPr>
          <w:sz w:val="28"/>
          <w:szCs w:val="28"/>
        </w:rPr>
        <w:t>Счё</w:t>
      </w:r>
      <w:r w:rsidR="004179C8" w:rsidRPr="00A25572">
        <w:rPr>
          <w:sz w:val="28"/>
          <w:szCs w:val="28"/>
        </w:rPr>
        <w:t xml:space="preserve">тная палата принимает исчерпывающие меры, направленные на устранение нарушений федеральных законов и иных нормативных правовых актов, затрагивающих интересы как органов местного самоуправления, так и иных участников бюджетного процесса, включая институты гражданского общества, широкие слои населения. </w:t>
      </w:r>
    </w:p>
    <w:p w:rsidR="00CA4C54" w:rsidRPr="00A25572" w:rsidRDefault="00CE6DFA" w:rsidP="00A255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572">
        <w:rPr>
          <w:rFonts w:ascii="Times New Roman" w:eastAsia="Calibri" w:hAnsi="Times New Roman" w:cs="Times New Roman"/>
          <w:sz w:val="28"/>
          <w:szCs w:val="28"/>
        </w:rPr>
        <w:t>По итогам проверок установлены нарушения при формировании и исполнении бюджета на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572">
        <w:rPr>
          <w:rFonts w:ascii="Times New Roman" w:eastAsia="Calibri" w:hAnsi="Times New Roman" w:cs="Times New Roman"/>
          <w:sz w:val="28"/>
          <w:szCs w:val="28"/>
        </w:rPr>
        <w:t>сумму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572">
        <w:rPr>
          <w:rFonts w:ascii="Times New Roman" w:eastAsia="Calibri" w:hAnsi="Times New Roman" w:cs="Times New Roman"/>
          <w:sz w:val="28"/>
          <w:szCs w:val="28"/>
        </w:rPr>
        <w:t>16,9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 млн.</w:t>
      </w:r>
      <w:r w:rsidR="000D34C1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>рублей, использовано бюджетных средств с отступлением от принципа эффективности</w:t>
      </w:r>
      <w:r w:rsidR="00287CC2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25572">
        <w:rPr>
          <w:rFonts w:ascii="Times New Roman" w:eastAsia="Calibri" w:hAnsi="Times New Roman" w:cs="Times New Roman"/>
          <w:sz w:val="28"/>
          <w:szCs w:val="28"/>
        </w:rPr>
        <w:t>2,3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 млн.</w:t>
      </w:r>
      <w:r w:rsidR="000D34C1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>рублей, прочие нарушения, недостатки составили</w:t>
      </w:r>
      <w:r w:rsidR="00287CC2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572">
        <w:rPr>
          <w:rFonts w:ascii="Times New Roman" w:eastAsia="Calibri" w:hAnsi="Times New Roman" w:cs="Times New Roman"/>
          <w:sz w:val="28"/>
          <w:szCs w:val="28"/>
        </w:rPr>
        <w:t>–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572">
        <w:rPr>
          <w:rFonts w:ascii="Times New Roman" w:eastAsia="Calibri" w:hAnsi="Times New Roman" w:cs="Times New Roman"/>
          <w:sz w:val="28"/>
          <w:szCs w:val="28"/>
        </w:rPr>
        <w:t>141,9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 млн.</w:t>
      </w:r>
      <w:r w:rsidR="000D34C1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>рублей, из них нар</w:t>
      </w:r>
      <w:r w:rsidR="00BC7671" w:rsidRPr="00A25572">
        <w:rPr>
          <w:rFonts w:ascii="Times New Roman" w:eastAsia="Calibri" w:hAnsi="Times New Roman" w:cs="Times New Roman"/>
          <w:sz w:val="28"/>
          <w:szCs w:val="28"/>
        </w:rPr>
        <w:t xml:space="preserve">ушения бухгалтерского учета </w:t>
      </w:r>
      <w:r w:rsidRPr="00A25572">
        <w:rPr>
          <w:rFonts w:ascii="Times New Roman" w:eastAsia="Calibri" w:hAnsi="Times New Roman" w:cs="Times New Roman"/>
          <w:sz w:val="28"/>
          <w:szCs w:val="28"/>
        </w:rPr>
        <w:t>–</w:t>
      </w:r>
      <w:r w:rsidR="00B72CC0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572">
        <w:rPr>
          <w:rFonts w:ascii="Times New Roman" w:eastAsia="Calibri" w:hAnsi="Times New Roman" w:cs="Times New Roman"/>
          <w:sz w:val="28"/>
          <w:szCs w:val="28"/>
        </w:rPr>
        <w:t>112,1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 xml:space="preserve"> млн.</w:t>
      </w:r>
      <w:r w:rsidR="000D34C1" w:rsidRPr="00A255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4CB1" w:rsidRPr="00A25572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CA4C54" w:rsidRPr="00CA4C54" w:rsidRDefault="00A25572" w:rsidP="00A25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В отчетном периоде счё</w:t>
      </w:r>
      <w:r w:rsidR="00CA4C54" w:rsidRPr="00A25572">
        <w:rPr>
          <w:rFonts w:ascii="Times New Roman" w:eastAsia="Calibri" w:hAnsi="Times New Roman" w:cs="Times New Roman"/>
          <w:iCs/>
          <w:sz w:val="28"/>
          <w:szCs w:val="28"/>
        </w:rPr>
        <w:t>тной палатой максимально использовались все предоставленные действующим законодательством возможности по устранению нарушений. В отдельных случаях эффект от принятых мер был получен непосредственно в ходе проведения контрольных мероприятий.</w:t>
      </w:r>
    </w:p>
    <w:p w:rsidR="00CA4C54" w:rsidRDefault="00CA4C54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A4C54">
        <w:rPr>
          <w:rFonts w:ascii="Times New Roman" w:eastAsia="Calibri" w:hAnsi="Times New Roman" w:cs="Times New Roman"/>
          <w:iCs/>
          <w:sz w:val="28"/>
          <w:szCs w:val="28"/>
        </w:rPr>
        <w:t xml:space="preserve">Всем проверенным органам </w:t>
      </w:r>
      <w:r w:rsidR="00FC5D7F">
        <w:rPr>
          <w:rFonts w:ascii="Times New Roman" w:eastAsia="Calibri" w:hAnsi="Times New Roman" w:cs="Times New Roman"/>
          <w:iCs/>
          <w:sz w:val="28"/>
          <w:szCs w:val="28"/>
        </w:rPr>
        <w:t xml:space="preserve">местной </w:t>
      </w:r>
      <w:r w:rsidRPr="00CA4C54">
        <w:rPr>
          <w:rFonts w:ascii="Times New Roman" w:eastAsia="Calibri" w:hAnsi="Times New Roman" w:cs="Times New Roman"/>
          <w:iCs/>
          <w:sz w:val="28"/>
          <w:szCs w:val="28"/>
        </w:rPr>
        <w:t>администрации, организациям и предприятиям направлены были предложения</w:t>
      </w:r>
      <w:r w:rsidR="00FC5D7F">
        <w:rPr>
          <w:rFonts w:ascii="Times New Roman" w:eastAsia="Calibri" w:hAnsi="Times New Roman" w:cs="Times New Roman"/>
          <w:iCs/>
          <w:sz w:val="28"/>
          <w:szCs w:val="28"/>
        </w:rPr>
        <w:t xml:space="preserve"> (в том числе представления)</w:t>
      </w:r>
      <w:r w:rsidRPr="00CA4C54">
        <w:rPr>
          <w:rFonts w:ascii="Times New Roman" w:eastAsia="Calibri" w:hAnsi="Times New Roman" w:cs="Times New Roman"/>
          <w:iCs/>
          <w:sz w:val="28"/>
          <w:szCs w:val="28"/>
        </w:rPr>
        <w:t xml:space="preserve"> для принятия конкретных мер по устранению выявленных нарушений и недостатков, а также установлен контрольный период для исправления нарушений.</w:t>
      </w:r>
    </w:p>
    <w:p w:rsidR="0039644C" w:rsidRPr="00A25572" w:rsidRDefault="00A25572" w:rsidP="00A255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     </w:t>
      </w:r>
      <w:r w:rsidR="00207AB8" w:rsidRPr="00A25572">
        <w:rPr>
          <w:rFonts w:ascii="Times New Roman" w:eastAsia="Calibri" w:hAnsi="Times New Roman" w:cs="Times New Roman"/>
          <w:iCs/>
          <w:sz w:val="28"/>
          <w:szCs w:val="28"/>
        </w:rPr>
        <w:t>Устранено выявленных нарушений на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 общую</w:t>
      </w:r>
      <w:r w:rsidR="00207AB8" w:rsidRPr="00A25572">
        <w:rPr>
          <w:rFonts w:ascii="Times New Roman" w:eastAsia="Calibri" w:hAnsi="Times New Roman" w:cs="Times New Roman"/>
          <w:iCs/>
          <w:sz w:val="28"/>
          <w:szCs w:val="28"/>
        </w:rPr>
        <w:t xml:space="preserve"> сумму 71,25 млн.руб.</w:t>
      </w:r>
    </w:p>
    <w:p w:rsidR="00207AB8" w:rsidRPr="00A25572" w:rsidRDefault="00207AB8" w:rsidP="00A25572">
      <w:pPr>
        <w:pStyle w:val="Default"/>
        <w:ind w:firstLine="435"/>
        <w:jc w:val="both"/>
        <w:rPr>
          <w:sz w:val="28"/>
          <w:szCs w:val="28"/>
        </w:rPr>
      </w:pPr>
      <w:r w:rsidRPr="00A25572">
        <w:rPr>
          <w:sz w:val="28"/>
          <w:szCs w:val="28"/>
        </w:rPr>
        <w:t xml:space="preserve">По итогам реализации предложений </w:t>
      </w:r>
      <w:r w:rsidR="00A25572">
        <w:rPr>
          <w:sz w:val="28"/>
          <w:szCs w:val="28"/>
        </w:rPr>
        <w:t xml:space="preserve"> п</w:t>
      </w:r>
      <w:r w:rsidRPr="00A25572">
        <w:rPr>
          <w:sz w:val="28"/>
          <w:szCs w:val="28"/>
        </w:rPr>
        <w:t xml:space="preserve">алаты, направленных по результатам проведенных контрольных мероприятий в 2017 году было принято </w:t>
      </w:r>
      <w:r w:rsidR="00C65142" w:rsidRPr="00A25572">
        <w:rPr>
          <w:sz w:val="28"/>
          <w:szCs w:val="28"/>
        </w:rPr>
        <w:t>22</w:t>
      </w:r>
      <w:r w:rsidRPr="00A25572">
        <w:rPr>
          <w:sz w:val="28"/>
          <w:szCs w:val="28"/>
        </w:rPr>
        <w:t xml:space="preserve"> нормативных и правовых актов, в том числе: </w:t>
      </w:r>
      <w:r w:rsidR="008A1691">
        <w:rPr>
          <w:sz w:val="28"/>
          <w:szCs w:val="28"/>
        </w:rPr>
        <w:t>4 решения</w:t>
      </w:r>
      <w:r w:rsidRPr="00A25572">
        <w:rPr>
          <w:sz w:val="28"/>
          <w:szCs w:val="28"/>
        </w:rPr>
        <w:t xml:space="preserve"> Думы города,</w:t>
      </w:r>
      <w:r w:rsidR="00A25572">
        <w:rPr>
          <w:sz w:val="28"/>
          <w:szCs w:val="28"/>
        </w:rPr>
        <w:t xml:space="preserve"> </w:t>
      </w:r>
      <w:r w:rsidRPr="00A25572">
        <w:rPr>
          <w:sz w:val="28"/>
          <w:szCs w:val="28"/>
        </w:rPr>
        <w:t xml:space="preserve">7 постановлений и  распоряжений Администрации города и </w:t>
      </w:r>
      <w:r w:rsidR="00C65142" w:rsidRPr="00A25572">
        <w:rPr>
          <w:sz w:val="28"/>
          <w:szCs w:val="28"/>
        </w:rPr>
        <w:t>11</w:t>
      </w:r>
      <w:r w:rsidRPr="00A25572">
        <w:rPr>
          <w:sz w:val="28"/>
          <w:szCs w:val="28"/>
        </w:rPr>
        <w:t xml:space="preserve"> ведомств</w:t>
      </w:r>
      <w:r w:rsidR="00C65142" w:rsidRPr="00A25572">
        <w:rPr>
          <w:sz w:val="28"/>
          <w:szCs w:val="28"/>
        </w:rPr>
        <w:t>енных актов объектов контроля.</w:t>
      </w:r>
    </w:p>
    <w:p w:rsidR="00207AB8" w:rsidRPr="00A25572" w:rsidRDefault="00207AB8" w:rsidP="00A25572">
      <w:pPr>
        <w:pStyle w:val="Default"/>
        <w:ind w:firstLine="435"/>
        <w:jc w:val="both"/>
        <w:rPr>
          <w:sz w:val="28"/>
          <w:szCs w:val="28"/>
        </w:rPr>
      </w:pPr>
      <w:r w:rsidRPr="00A25572">
        <w:rPr>
          <w:sz w:val="28"/>
          <w:szCs w:val="28"/>
        </w:rPr>
        <w:t xml:space="preserve">По представлениям </w:t>
      </w:r>
      <w:r w:rsidR="00C65142" w:rsidRPr="00A25572">
        <w:rPr>
          <w:sz w:val="28"/>
          <w:szCs w:val="28"/>
        </w:rPr>
        <w:t xml:space="preserve"> счё</w:t>
      </w:r>
      <w:r w:rsidRPr="00A25572">
        <w:rPr>
          <w:sz w:val="28"/>
          <w:szCs w:val="28"/>
        </w:rPr>
        <w:t>тной палаты за отчетный период к дисциплинарной ответственности за нарушения действующе</w:t>
      </w:r>
      <w:r w:rsidR="00C65142" w:rsidRPr="00A25572">
        <w:rPr>
          <w:sz w:val="28"/>
          <w:szCs w:val="28"/>
        </w:rPr>
        <w:t>го законодательства привлечены 3</w:t>
      </w:r>
      <w:r w:rsidRPr="00A25572">
        <w:rPr>
          <w:sz w:val="28"/>
          <w:szCs w:val="28"/>
        </w:rPr>
        <w:t xml:space="preserve">3 должностных лица, кроме того снижались размеры премирования. </w:t>
      </w:r>
    </w:p>
    <w:p w:rsidR="004179C8" w:rsidRPr="004179C8" w:rsidRDefault="004179C8" w:rsidP="00C65142">
      <w:pPr>
        <w:pStyle w:val="a8"/>
        <w:autoSpaceDE w:val="0"/>
        <w:autoSpaceDN w:val="0"/>
        <w:adjustRightInd w:val="0"/>
        <w:spacing w:after="0" w:line="240" w:lineRule="auto"/>
        <w:ind w:left="79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4C54" w:rsidRPr="00287CC2" w:rsidRDefault="00CA4C54" w:rsidP="00B72CC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25572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Сравнительный анализ количества должностных лиц, привлеченных к дисциплинарной ответственности по итогам проведени</w:t>
      </w:r>
      <w:r w:rsidR="00C65142" w:rsidRPr="00A25572">
        <w:rPr>
          <w:rFonts w:ascii="Times New Roman" w:eastAsia="Times New Roman" w:hAnsi="Times New Roman" w:cs="Times New Roman"/>
          <w:iCs/>
          <w:sz w:val="28"/>
          <w:szCs w:val="28"/>
        </w:rPr>
        <w:t>я контрольных мероприятий в 2015-2017</w:t>
      </w:r>
      <w:r w:rsidR="007A6EFF" w:rsidRPr="00A25572">
        <w:rPr>
          <w:rFonts w:ascii="Times New Roman" w:eastAsia="Times New Roman" w:hAnsi="Times New Roman" w:cs="Times New Roman"/>
          <w:iCs/>
          <w:sz w:val="28"/>
          <w:szCs w:val="28"/>
        </w:rPr>
        <w:t xml:space="preserve"> г</w:t>
      </w:r>
      <w:r w:rsidRPr="00A25572">
        <w:rPr>
          <w:rFonts w:ascii="Times New Roman" w:eastAsia="Times New Roman" w:hAnsi="Times New Roman" w:cs="Times New Roman"/>
          <w:iCs/>
          <w:sz w:val="28"/>
          <w:szCs w:val="28"/>
        </w:rPr>
        <w:t>г. (чел.)</w:t>
      </w:r>
    </w:p>
    <w:p w:rsidR="00CA4C54" w:rsidRPr="00CA4C54" w:rsidRDefault="00CA4C54" w:rsidP="00CA4C5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Calibri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826EF94" wp14:editId="58C1AA0D">
            <wp:extent cx="4314825" cy="1885950"/>
            <wp:effectExtent l="0" t="0" r="0" b="0"/>
            <wp:docPr id="2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A4C54" w:rsidRPr="00CA4C54" w:rsidRDefault="00CA4C54" w:rsidP="00CA4C54">
      <w:pPr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54" w:rsidRPr="00CA4C54" w:rsidRDefault="0032374D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</w:t>
      </w:r>
      <w:r w:rsidR="00FC5D7F">
        <w:rPr>
          <w:rFonts w:ascii="Times New Roman" w:eastAsia="Calibri" w:hAnsi="Times New Roman" w:cs="Times New Roman"/>
          <w:sz w:val="28"/>
          <w:szCs w:val="28"/>
        </w:rPr>
        <w:t>7</w:t>
      </w:r>
      <w:r w:rsidR="00CA4C54" w:rsidRPr="00CA4C54">
        <w:rPr>
          <w:rFonts w:ascii="Times New Roman" w:eastAsia="Calibri" w:hAnsi="Times New Roman" w:cs="Times New Roman"/>
          <w:sz w:val="28"/>
          <w:szCs w:val="28"/>
        </w:rPr>
        <w:t xml:space="preserve"> году резуль</w:t>
      </w:r>
      <w:r w:rsidR="000D34C1">
        <w:rPr>
          <w:rFonts w:ascii="Times New Roman" w:eastAsia="Calibri" w:hAnsi="Times New Roman" w:cs="Times New Roman"/>
          <w:sz w:val="28"/>
          <w:szCs w:val="28"/>
        </w:rPr>
        <w:t>таты контрольных м</w:t>
      </w:r>
      <w:r w:rsidR="002B3B52">
        <w:rPr>
          <w:rFonts w:ascii="Times New Roman" w:eastAsia="Calibri" w:hAnsi="Times New Roman" w:cs="Times New Roman"/>
          <w:sz w:val="28"/>
          <w:szCs w:val="28"/>
        </w:rPr>
        <w:t>ероприятий счё</w:t>
      </w:r>
      <w:r w:rsidR="00CA4C54" w:rsidRPr="00CA4C54">
        <w:rPr>
          <w:rFonts w:ascii="Times New Roman" w:eastAsia="Calibri" w:hAnsi="Times New Roman" w:cs="Times New Roman"/>
          <w:sz w:val="28"/>
          <w:szCs w:val="28"/>
        </w:rPr>
        <w:t>тной палаты направлялись в правоохранительные органы, как по их запросам, так и в рамках реализации заключенных  счетной палатой соглашений:</w:t>
      </w:r>
    </w:p>
    <w:p w:rsidR="00CA4C54" w:rsidRPr="00A25572" w:rsidRDefault="00CA4C54" w:rsidP="00467DB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572">
        <w:rPr>
          <w:rFonts w:ascii="Times New Roman" w:eastAsia="Calibri" w:hAnsi="Times New Roman" w:cs="Times New Roman"/>
          <w:sz w:val="28"/>
          <w:szCs w:val="28"/>
        </w:rPr>
        <w:t>9 отчетов и 5 актов − в прокуратуру города;</w:t>
      </w:r>
    </w:p>
    <w:p w:rsidR="00CA4C54" w:rsidRPr="00CA4C54" w:rsidRDefault="0032374D" w:rsidP="00467DB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5572">
        <w:rPr>
          <w:rFonts w:ascii="Times New Roman" w:eastAsia="Calibri" w:hAnsi="Times New Roman" w:cs="Times New Roman"/>
          <w:sz w:val="28"/>
          <w:szCs w:val="28"/>
        </w:rPr>
        <w:t>1 акт</w:t>
      </w:r>
      <w:r w:rsidR="00CA4C54" w:rsidRPr="00A25572">
        <w:rPr>
          <w:rFonts w:ascii="Times New Roman" w:eastAsia="Calibri" w:hAnsi="Times New Roman" w:cs="Times New Roman"/>
          <w:sz w:val="28"/>
          <w:szCs w:val="28"/>
        </w:rPr>
        <w:t xml:space="preserve"> − в Управление</w:t>
      </w:r>
      <w:r w:rsidR="00CA4C54" w:rsidRPr="00CA4C54">
        <w:rPr>
          <w:rFonts w:ascii="Times New Roman" w:eastAsia="Calibri" w:hAnsi="Times New Roman" w:cs="Times New Roman"/>
          <w:sz w:val="28"/>
          <w:szCs w:val="28"/>
        </w:rPr>
        <w:t xml:space="preserve"> МВД России по городу Нижневартовску.</w:t>
      </w:r>
    </w:p>
    <w:p w:rsidR="00CA4C54" w:rsidRPr="00CA4C54" w:rsidRDefault="00CA4C54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>Особое внимание в минувшем</w:t>
      </w:r>
      <w:r w:rsidR="002B3B52">
        <w:rPr>
          <w:rFonts w:ascii="Times New Roman" w:eastAsia="Calibri" w:hAnsi="Times New Roman" w:cs="Times New Roman"/>
          <w:sz w:val="28"/>
          <w:szCs w:val="28"/>
        </w:rPr>
        <w:t xml:space="preserve"> году, как и в прошлые годы, счё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тная палата уделяла </w:t>
      </w:r>
      <w:r w:rsidRPr="00CA4C54">
        <w:rPr>
          <w:rFonts w:ascii="Times New Roman" w:eastAsia="Calibri" w:hAnsi="Times New Roman" w:cs="Times New Roman"/>
          <w:iCs/>
          <w:sz w:val="28"/>
          <w:szCs w:val="28"/>
        </w:rPr>
        <w:t>проведению мероприятий последующего контроля</w:t>
      </w:r>
      <w:r w:rsidRPr="00CA4C5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Pr="00CA4C54">
        <w:rPr>
          <w:rFonts w:ascii="Times New Roman" w:eastAsia="Calibri" w:hAnsi="Times New Roman" w:cs="Times New Roman"/>
          <w:sz w:val="28"/>
          <w:szCs w:val="28"/>
        </w:rPr>
        <w:t>с целью устранения установленных палатой нарушений и предотвращения их в дальнейшем.</w:t>
      </w:r>
    </w:p>
    <w:p w:rsidR="00CA4C54" w:rsidRPr="00CA4C54" w:rsidRDefault="00305760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Отмечаем, что</w:t>
      </w:r>
      <w:r w:rsidR="00CA4C54" w:rsidRPr="00CA4C54">
        <w:rPr>
          <w:rFonts w:ascii="Times New Roman" w:eastAsia="Calibri" w:hAnsi="Times New Roman" w:cs="Times New Roman"/>
          <w:sz w:val="28"/>
          <w:szCs w:val="28"/>
        </w:rPr>
        <w:t xml:space="preserve"> законодательно установленными полномочиями по устранению нарушений и недостатков, выявленных по результатам мероприятий внешнего муниципального финансового контроля, муниципальные контрольно-счетные органы не наделены. Выбор и реализация механизма устранения нарушений осуществляется исполнительным и представительным органом местного самоуправления.</w:t>
      </w:r>
    </w:p>
    <w:p w:rsidR="00CA4C54" w:rsidRPr="00CA4C54" w:rsidRDefault="00CA4C54" w:rsidP="00467D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>В целях достижения наиболее эффективных результатов от мероприятий, проводимых объектами проверок по устранению нарушен</w:t>
      </w:r>
      <w:r w:rsidR="002B3B52">
        <w:rPr>
          <w:rFonts w:ascii="Times New Roman" w:eastAsia="Calibri" w:hAnsi="Times New Roman" w:cs="Times New Roman"/>
          <w:sz w:val="28"/>
          <w:szCs w:val="28"/>
        </w:rPr>
        <w:t>ий и выполнению рекомендаций счё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тной палаты, налажено взаимодействие и проведение </w:t>
      </w:r>
      <w:r w:rsidRPr="00CA4C54">
        <w:rPr>
          <w:rFonts w:ascii="Times New Roman" w:eastAsia="Calibri" w:hAnsi="Times New Roman" w:cs="Times New Roman"/>
          <w:iCs/>
          <w:sz w:val="28"/>
          <w:szCs w:val="28"/>
        </w:rPr>
        <w:t>совместных заседаний</w:t>
      </w:r>
      <w:r w:rsidR="002B3B52">
        <w:rPr>
          <w:rFonts w:ascii="Times New Roman" w:eastAsia="Calibri" w:hAnsi="Times New Roman" w:cs="Times New Roman"/>
          <w:iCs/>
          <w:sz w:val="28"/>
          <w:szCs w:val="28"/>
        </w:rPr>
        <w:t xml:space="preserve"> работников администрации  и счё</w:t>
      </w:r>
      <w:r w:rsidRPr="00CA4C54">
        <w:rPr>
          <w:rFonts w:ascii="Times New Roman" w:eastAsia="Calibri" w:hAnsi="Times New Roman" w:cs="Times New Roman"/>
          <w:iCs/>
          <w:sz w:val="28"/>
          <w:szCs w:val="28"/>
        </w:rPr>
        <w:t>тной палаты, от которых</w:t>
      </w:r>
      <w:r w:rsidRPr="00CA4C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A4C54">
        <w:rPr>
          <w:rFonts w:ascii="Times New Roman" w:eastAsia="Calibri" w:hAnsi="Times New Roman" w:cs="Times New Roman"/>
          <w:sz w:val="28"/>
          <w:szCs w:val="28"/>
        </w:rPr>
        <w:t>достигается определенный положительный результат.</w:t>
      </w:r>
    </w:p>
    <w:p w:rsidR="00467DB4" w:rsidRPr="00A25572" w:rsidRDefault="00CA4C54" w:rsidP="00CA7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4C5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2374D">
        <w:rPr>
          <w:rFonts w:ascii="Times New Roman" w:eastAsia="Times New Roman" w:hAnsi="Times New Roman" w:cs="Times New Roman"/>
          <w:sz w:val="28"/>
          <w:szCs w:val="28"/>
        </w:rPr>
        <w:t>о результатам проведенных в 201</w:t>
      </w:r>
      <w:r w:rsidR="00FC5D7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A4C54">
        <w:rPr>
          <w:rFonts w:ascii="Times New Roman" w:eastAsia="Times New Roman" w:hAnsi="Times New Roman" w:cs="Times New Roman"/>
          <w:sz w:val="28"/>
          <w:szCs w:val="28"/>
        </w:rPr>
        <w:t xml:space="preserve"> году контрольных мероприятий руководителям проверенных учрежде</w:t>
      </w:r>
      <w:r w:rsidR="0032374D">
        <w:rPr>
          <w:rFonts w:ascii="Times New Roman" w:eastAsia="Times New Roman" w:hAnsi="Times New Roman" w:cs="Times New Roman"/>
          <w:sz w:val="28"/>
          <w:szCs w:val="28"/>
        </w:rPr>
        <w:t xml:space="preserve">ний и организаций </w:t>
      </w:r>
      <w:r w:rsidR="002B3B52" w:rsidRPr="00A25572">
        <w:rPr>
          <w:rFonts w:ascii="Times New Roman" w:eastAsia="Times New Roman" w:hAnsi="Times New Roman" w:cs="Times New Roman"/>
          <w:sz w:val="28"/>
          <w:szCs w:val="28"/>
        </w:rPr>
        <w:t>направлено  10</w:t>
      </w:r>
      <w:r w:rsidRPr="00A2557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A25572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034D04" w:rsidRPr="00A25572">
        <w:rPr>
          <w:rFonts w:ascii="Times New Roman" w:eastAsia="Times New Roman" w:hAnsi="Times New Roman" w:cs="Times New Roman"/>
          <w:sz w:val="28"/>
          <w:szCs w:val="28"/>
        </w:rPr>
        <w:t>едставлений</w:t>
      </w:r>
      <w:r w:rsidR="002B3B52" w:rsidRPr="00A25572">
        <w:rPr>
          <w:rFonts w:ascii="Times New Roman" w:eastAsia="Times New Roman" w:hAnsi="Times New Roman" w:cs="Times New Roman"/>
          <w:sz w:val="28"/>
          <w:szCs w:val="28"/>
        </w:rPr>
        <w:t xml:space="preserve">, которыми внесено </w:t>
      </w:r>
      <w:r w:rsidR="00A25572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A25572">
        <w:rPr>
          <w:rFonts w:ascii="Times New Roman" w:eastAsia="Times New Roman" w:hAnsi="Times New Roman" w:cs="Times New Roman"/>
          <w:sz w:val="28"/>
          <w:szCs w:val="28"/>
        </w:rPr>
        <w:t xml:space="preserve"> предложений, содержащих конкретные меры по устранению имеющихся нарушений. В основном по всем из них получены ответы, в которых, содержалась информа</w:t>
      </w:r>
      <w:r w:rsidR="00A7765E">
        <w:rPr>
          <w:rFonts w:ascii="Times New Roman" w:eastAsia="Times New Roman" w:hAnsi="Times New Roman" w:cs="Times New Roman"/>
          <w:sz w:val="28"/>
          <w:szCs w:val="28"/>
        </w:rPr>
        <w:t>ция о выполнении предложений счё</w:t>
      </w:r>
      <w:r w:rsidRPr="00A25572">
        <w:rPr>
          <w:rFonts w:ascii="Times New Roman" w:eastAsia="Times New Roman" w:hAnsi="Times New Roman" w:cs="Times New Roman"/>
          <w:sz w:val="28"/>
          <w:szCs w:val="28"/>
        </w:rPr>
        <w:t>тной палаты либо о том, что работа по ним ведется, но не завершена из-за необходимости длительного времени для их выполнения.</w:t>
      </w:r>
    </w:p>
    <w:p w:rsidR="00034D04" w:rsidRDefault="00034D04" w:rsidP="00CA7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572">
        <w:rPr>
          <w:rFonts w:ascii="Times New Roman" w:eastAsia="Times New Roman" w:hAnsi="Times New Roman" w:cs="Times New Roman"/>
          <w:sz w:val="28"/>
          <w:szCs w:val="28"/>
        </w:rPr>
        <w:t xml:space="preserve">Кроме того, в исполнительно-распорядительный орган направлено </w:t>
      </w:r>
      <w:r w:rsidR="002B3B52" w:rsidRPr="00A2557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25572">
        <w:rPr>
          <w:rFonts w:ascii="Times New Roman" w:eastAsia="Times New Roman" w:hAnsi="Times New Roman" w:cs="Times New Roman"/>
          <w:sz w:val="28"/>
          <w:szCs w:val="28"/>
        </w:rPr>
        <w:t>5 информационных письма о нарушениях и недостатках, относящихся к их компетенции.</w:t>
      </w:r>
    </w:p>
    <w:p w:rsidR="00A25572" w:rsidRDefault="00A25572" w:rsidP="00A25572">
      <w:pPr>
        <w:pStyle w:val="Defaul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</w:t>
      </w:r>
      <w:r w:rsidR="00034D04">
        <w:rPr>
          <w:rFonts w:eastAsia="Times New Roman"/>
          <w:sz w:val="28"/>
          <w:szCs w:val="28"/>
        </w:rPr>
        <w:t>Как и в п</w:t>
      </w:r>
      <w:r w:rsidR="00A7765E">
        <w:rPr>
          <w:rFonts w:eastAsia="Times New Roman"/>
          <w:sz w:val="28"/>
          <w:szCs w:val="28"/>
        </w:rPr>
        <w:t>редыдущие годы, деятельность счё</w:t>
      </w:r>
      <w:r w:rsidR="00034D04">
        <w:rPr>
          <w:rFonts w:eastAsia="Times New Roman"/>
          <w:sz w:val="28"/>
          <w:szCs w:val="28"/>
        </w:rPr>
        <w:t xml:space="preserve">тной палаты осуществлялась в тесном взаимодействии со всеми органами местного самоуправления, надзорными, правоохранительными и иными органами, и организациями. </w:t>
      </w:r>
    </w:p>
    <w:p w:rsidR="002B3B52" w:rsidRPr="00A25572" w:rsidRDefault="00A25572" w:rsidP="00A25572">
      <w:pPr>
        <w:pStyle w:val="Default"/>
        <w:jc w:val="both"/>
        <w:rPr>
          <w:sz w:val="28"/>
          <w:szCs w:val="28"/>
        </w:rPr>
      </w:pPr>
      <w:r w:rsidRPr="00A25572">
        <w:rPr>
          <w:sz w:val="28"/>
          <w:szCs w:val="28"/>
        </w:rPr>
        <w:t xml:space="preserve">           </w:t>
      </w:r>
      <w:r w:rsidR="002B3B52" w:rsidRPr="00A25572">
        <w:rPr>
          <w:sz w:val="28"/>
          <w:szCs w:val="28"/>
        </w:rPr>
        <w:t xml:space="preserve">Общая оценка организации взаимодействия счётной палаты и правоохранительных органов свидетельствует о сохранении в отчетном периоде тенденций развития форм сотрудничества, его интенсивности и качества. </w:t>
      </w:r>
    </w:p>
    <w:p w:rsidR="002B3B52" w:rsidRPr="00A25572" w:rsidRDefault="00A25572" w:rsidP="00A25572">
      <w:pPr>
        <w:pStyle w:val="Default"/>
        <w:jc w:val="both"/>
        <w:rPr>
          <w:sz w:val="28"/>
          <w:szCs w:val="28"/>
        </w:rPr>
      </w:pPr>
      <w:r w:rsidRPr="00A25572">
        <w:rPr>
          <w:sz w:val="28"/>
          <w:szCs w:val="28"/>
        </w:rPr>
        <w:t xml:space="preserve">           </w:t>
      </w:r>
      <w:r w:rsidR="002B3B52" w:rsidRPr="00A25572">
        <w:rPr>
          <w:sz w:val="28"/>
          <w:szCs w:val="28"/>
        </w:rPr>
        <w:t xml:space="preserve">В 2017 году начата работа по привлечению к административной ответственности должностных лиц, совершивших административные правонарушения, связанная с реализацией полномочий должностными лицами органов муниципального финансового контроля. </w:t>
      </w:r>
    </w:p>
    <w:p w:rsidR="00A25572" w:rsidRDefault="002B3B52" w:rsidP="00A2557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5572">
        <w:rPr>
          <w:rFonts w:ascii="Times New Roman" w:hAnsi="Times New Roman" w:cs="Times New Roman"/>
          <w:sz w:val="28"/>
          <w:szCs w:val="28"/>
        </w:rPr>
        <w:t>Так, инспекторами счётной палаты за отчетный период в рамках предоставленных полномочий составлено 2 протокола об административных правонарушениях</w:t>
      </w:r>
      <w:r w:rsidR="003479A3" w:rsidRPr="00A25572">
        <w:rPr>
          <w:rFonts w:ascii="Times New Roman" w:hAnsi="Times New Roman" w:cs="Times New Roman"/>
          <w:sz w:val="28"/>
          <w:szCs w:val="28"/>
        </w:rPr>
        <w:t xml:space="preserve"> (ст. 15.15.5 «Нарушение условий предоставления субсидий»</w:t>
      </w:r>
      <w:r w:rsidRPr="00A25572">
        <w:rPr>
          <w:rFonts w:ascii="Times New Roman" w:hAnsi="Times New Roman" w:cs="Times New Roman"/>
          <w:sz w:val="28"/>
          <w:szCs w:val="28"/>
        </w:rPr>
        <w:t xml:space="preserve">, </w:t>
      </w:r>
      <w:r w:rsidR="004D7F9E" w:rsidRPr="00A25572">
        <w:rPr>
          <w:rFonts w:ascii="Times New Roman" w:eastAsia="Times New Roman" w:hAnsi="Times New Roman" w:cs="Times New Roman"/>
          <w:sz w:val="28"/>
          <w:szCs w:val="28"/>
        </w:rPr>
        <w:t xml:space="preserve"> ст. 15.15.3  «Нарушение порядка и (или) условий предоставления межбюджетных трансфертов» Кодекса Российской Федерации об административных правонарушениях,</w:t>
      </w:r>
      <w:r w:rsidR="004D7F9E" w:rsidRPr="00A25572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которых в отношении  должностных лиц судебными органами вынесены постановления о назначении административного наказания в виде штрафов</w:t>
      </w:r>
      <w:r w:rsidR="00A25572">
        <w:rPr>
          <w:rFonts w:ascii="Times New Roman" w:hAnsi="Times New Roman" w:cs="Times New Roman"/>
          <w:sz w:val="28"/>
          <w:szCs w:val="28"/>
        </w:rPr>
        <w:t>.</w:t>
      </w:r>
    </w:p>
    <w:p w:rsidR="00034D04" w:rsidRPr="00A25572" w:rsidRDefault="00034D04" w:rsidP="00A25572">
      <w:pPr>
        <w:autoSpaceDE w:val="0"/>
        <w:autoSpaceDN w:val="0"/>
        <w:adjustRightInd w:val="0"/>
        <w:ind w:firstLine="53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572">
        <w:rPr>
          <w:rFonts w:ascii="Times New Roman" w:eastAsia="Times New Roman" w:hAnsi="Times New Roman" w:cs="Times New Roman"/>
          <w:sz w:val="28"/>
          <w:szCs w:val="28"/>
        </w:rPr>
        <w:t>Более подробная информация о  выборочных  результатах</w:t>
      </w:r>
      <w:r w:rsidR="000D34C1" w:rsidRPr="00A25572">
        <w:rPr>
          <w:rFonts w:ascii="Times New Roman" w:eastAsia="Times New Roman" w:hAnsi="Times New Roman" w:cs="Times New Roman"/>
          <w:sz w:val="28"/>
          <w:szCs w:val="28"/>
        </w:rPr>
        <w:t xml:space="preserve"> контрольных мероприятий</w:t>
      </w:r>
      <w:r w:rsidRPr="00A2557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в соответствующих разделах настоящего отчета.</w:t>
      </w:r>
    </w:p>
    <w:p w:rsidR="004179C8" w:rsidRPr="00A25572" w:rsidRDefault="004179C8" w:rsidP="00A25572">
      <w:pPr>
        <w:spacing w:after="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79C8" w:rsidRPr="00F115D1" w:rsidRDefault="004179C8" w:rsidP="004179C8">
      <w:pPr>
        <w:pStyle w:val="Default"/>
        <w:rPr>
          <w:b/>
        </w:rPr>
      </w:pPr>
    </w:p>
    <w:p w:rsidR="00CA4C54" w:rsidRPr="00F115D1" w:rsidRDefault="00CA4C54" w:rsidP="008A1691">
      <w:pPr>
        <w:pStyle w:val="a8"/>
        <w:numPr>
          <w:ilvl w:val="0"/>
          <w:numId w:val="4"/>
        </w:numPr>
        <w:spacing w:after="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Экспертно-аналитическая деятельность</w:t>
      </w:r>
    </w:p>
    <w:p w:rsidR="00CA4C54" w:rsidRPr="00CA4C54" w:rsidRDefault="00CA4C54" w:rsidP="00CA4C54">
      <w:pPr>
        <w:spacing w:after="20" w:line="240" w:lineRule="auto"/>
        <w:ind w:left="135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54" w:rsidRP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Реализуя установленные Федеральн</w:t>
      </w:r>
      <w:r w:rsidR="00A77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 законом №6-ФЗ полномочия, счё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тная палата проводила финансово-экономическую экспертизу проектов муниципальных правовых актов</w:t>
      </w:r>
      <w:r w:rsidR="00FC5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бюджетного законодательства,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5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том числе 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касающейся расходных обязательств города, а также муниципальных программ.</w:t>
      </w:r>
    </w:p>
    <w:p w:rsidR="00CA4C54" w:rsidRP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Общее количество подготов</w:t>
      </w:r>
      <w:r w:rsidR="003237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ленных заключений </w:t>
      </w:r>
      <w:r w:rsidR="0032374D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составило</w:t>
      </w:r>
      <w:r w:rsidR="007C23FF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7652C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- 131</w:t>
      </w:r>
      <w:r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числе:</w:t>
      </w:r>
    </w:p>
    <w:p w:rsidR="00CA4C54" w:rsidRPr="00A25572" w:rsidRDefault="00F9024B" w:rsidP="00467DB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33</w:t>
      </w:r>
      <w:r w:rsidR="00CA4C54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заключений подго</w:t>
      </w:r>
      <w:r w:rsidR="00CA7538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товлено на проекты решений Думы</w:t>
      </w:r>
      <w:r w:rsidR="00287CC2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A4C54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города;</w:t>
      </w:r>
    </w:p>
    <w:p w:rsidR="00CA4C54" w:rsidRPr="00A25572" w:rsidRDefault="0017652C" w:rsidP="00467DB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98</w:t>
      </w:r>
      <w:r w:rsidR="00CA4C54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заключений подготовлено на проекты муниципальных</w:t>
      </w:r>
      <w:r w:rsidR="00B72CC0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2374D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 и проекты </w:t>
      </w:r>
      <w:r w:rsidR="00CA4C54" w:rsidRPr="00A255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постановлений администрации города.</w:t>
      </w:r>
    </w:p>
    <w:p w:rsid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и</w:t>
      </w:r>
      <w:r w:rsidR="001765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предыдущие годы палата в 2017</w:t>
      </w:r>
      <w:r w:rsidR="00CA75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году придерживалась</w:t>
      </w:r>
      <w:r w:rsidR="00B72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положительно зарекомендовавшей себя практики проработки проектов нормативных правовых актов с разработчиками на стадии подготовки заключения. Ввиду чего, часть предложений палаты учитывались разработчиками уже на стадии подготовки заключения.</w:t>
      </w:r>
    </w:p>
    <w:p w:rsidR="00B72CC0" w:rsidRPr="00CA4C54" w:rsidRDefault="00B72CC0" w:rsidP="00CA75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4C54" w:rsidRPr="00287CC2" w:rsidRDefault="00CA4C54" w:rsidP="00CA4C5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количества экспертно-аналитических мероприятий.</w:t>
      </w:r>
    </w:p>
    <w:p w:rsidR="00CA4C54" w:rsidRPr="00CA4C54" w:rsidRDefault="00CA4C54" w:rsidP="00CA4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E5D330E" wp14:editId="687C8B9B">
            <wp:extent cx="4848225" cy="2373127"/>
            <wp:effectExtent l="19050" t="0" r="9525" b="8123"/>
            <wp:docPr id="3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A4C54" w:rsidRPr="00CA4C54" w:rsidRDefault="00CA4C54" w:rsidP="00CA4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54" w:rsidRPr="00CA4C54" w:rsidRDefault="00CB3760" w:rsidP="00CA4C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заключениях  содержалось </w:t>
      </w:r>
      <w:r w:rsidR="0017652C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CA4C54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</w:t>
      </w:r>
      <w:r w:rsidR="0017652C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предложений, из которых </w:t>
      </w:r>
      <w:r w:rsidR="0017652C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>9, что составляет более 93</w:t>
      </w:r>
      <w:r w:rsidR="00CA4C54" w:rsidRPr="00A255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процентов от общего количества замечаний и предложений, учтено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4" w:rsidRPr="00CA4C54" w:rsidRDefault="00CA4C54" w:rsidP="00CA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54" w:rsidRPr="00287CC2" w:rsidRDefault="00CA4C54" w:rsidP="00CA4C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 количества содержащихся в заключениях сч</w:t>
      </w:r>
      <w:r w:rsidR="00443B4E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 </w:t>
      </w:r>
    </w:p>
    <w:p w:rsidR="00CA4C54" w:rsidRPr="00287CC2" w:rsidRDefault="00CB3760" w:rsidP="00CA4C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за 2015 года и 2016</w:t>
      </w:r>
      <w:r w:rsidR="00CA4C54" w:rsidRPr="0028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CA4C54" w:rsidRPr="00CA4C54" w:rsidRDefault="00CA4C54" w:rsidP="00CA4C54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54" w:rsidRPr="00CA4C54" w:rsidRDefault="00CA4C54" w:rsidP="00CA4C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</w:pPr>
      <w:r w:rsidRPr="00CA4C54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373C42C3" wp14:editId="1DDA15AC">
            <wp:extent cx="4867275" cy="18573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A4C54" w:rsidRPr="00CA4C54" w:rsidRDefault="00CA4C54" w:rsidP="00CA4C5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CA4C54" w:rsidRP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70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C54">
        <w:rPr>
          <w:rFonts w:ascii="Times New Roman" w:hAnsi="Times New Roman" w:cs="Times New Roman"/>
          <w:noProof/>
          <w:vanish/>
          <w:sz w:val="28"/>
          <w:szCs w:val="28"/>
          <w:lang w:eastAsia="ru-RU"/>
        </w:rPr>
        <w:t xml:space="preserve"> </w:t>
      </w:r>
      <w:r w:rsidR="00CB376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FC5D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3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счё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палатой осуществлен необходимый комплекс экспертно</w:t>
      </w:r>
      <w:r w:rsidR="00FC5D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аналитических мероприятий с учетом данных, полученных в ходе контрольных мероприятий, для подготовки:</w:t>
      </w:r>
    </w:p>
    <w:p w:rsidR="00CA4C54" w:rsidRPr="00CA4C54" w:rsidRDefault="00CA4C54" w:rsidP="00467D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заключения на отчет об исполнении бюдже</w:t>
      </w:r>
      <w:r w:rsidR="00CB3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города Нижневартовска за 201</w:t>
      </w:r>
      <w:r w:rsidR="00FC5D7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:rsidR="00CA4C54" w:rsidRPr="00CA4C54" w:rsidRDefault="00CB3760" w:rsidP="00467DB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заключений на проекты решений Думы города Нижневартовска о внесении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зменений в бюджет города на 201</w:t>
      </w:r>
      <w:r w:rsidR="00FC5D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201</w:t>
      </w:r>
      <w:r w:rsidR="00FC5D7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FC5D7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годов;</w:t>
      </w:r>
    </w:p>
    <w:p w:rsidR="00CA4C54" w:rsidRPr="00CA4C54" w:rsidRDefault="00CA7538" w:rsidP="00467D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заключения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проект решения Думы города Нижневартовска </w:t>
      </w:r>
      <w:r w:rsidR="00CA4C54" w:rsidRPr="00CA4C54">
        <w:rPr>
          <w:rFonts w:ascii="Times New Roman" w:eastAsia="Calibri" w:hAnsi="Times New Roman" w:cs="Times New Roman"/>
          <w:sz w:val="28"/>
          <w:szCs w:val="28"/>
        </w:rPr>
        <w:t>«О бюдже</w:t>
      </w:r>
      <w:r w:rsidR="00CB3760">
        <w:rPr>
          <w:rFonts w:ascii="Times New Roman" w:eastAsia="Calibri" w:hAnsi="Times New Roman" w:cs="Times New Roman"/>
          <w:sz w:val="28"/>
          <w:szCs w:val="28"/>
        </w:rPr>
        <w:t>те города Нижневартовска на 201</w:t>
      </w:r>
      <w:r w:rsidR="00D20C59">
        <w:rPr>
          <w:rFonts w:ascii="Times New Roman" w:eastAsia="Calibri" w:hAnsi="Times New Roman" w:cs="Times New Roman"/>
          <w:sz w:val="28"/>
          <w:szCs w:val="28"/>
        </w:rPr>
        <w:t>8</w:t>
      </w:r>
      <w:r w:rsidR="00CA4C54" w:rsidRPr="00CA4C5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D20C59">
        <w:rPr>
          <w:rFonts w:ascii="Times New Roman" w:eastAsia="Calibri" w:hAnsi="Times New Roman" w:cs="Times New Roman"/>
          <w:sz w:val="28"/>
          <w:szCs w:val="28"/>
        </w:rPr>
        <w:t xml:space="preserve"> и плановый период 2019-2020 годов</w:t>
      </w:r>
      <w:r w:rsidR="00CA4C54" w:rsidRPr="00CA4C54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B3760" w:rsidRDefault="00CA4C54" w:rsidP="00467DB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Calibri" w:hAnsi="Times New Roman" w:cs="Times New Roman"/>
          <w:sz w:val="28"/>
          <w:szCs w:val="28"/>
        </w:rPr>
        <w:t>В соответствии со статьей 264.4 Б</w:t>
      </w:r>
      <w:r w:rsidR="007A6EFF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Pr="00CA4C54">
        <w:rPr>
          <w:rFonts w:ascii="Times New Roman" w:eastAsia="Calibri" w:hAnsi="Times New Roman" w:cs="Times New Roman"/>
          <w:sz w:val="28"/>
          <w:szCs w:val="28"/>
        </w:rPr>
        <w:t>РФ</w:t>
      </w:r>
      <w:r w:rsidR="007A6EFF">
        <w:rPr>
          <w:rFonts w:ascii="Times New Roman" w:eastAsia="Calibri" w:hAnsi="Times New Roman" w:cs="Times New Roman"/>
          <w:sz w:val="28"/>
          <w:szCs w:val="28"/>
        </w:rPr>
        <w:t xml:space="preserve">, статьей 10 </w:t>
      </w:r>
      <w:r w:rsidRPr="00CA4C54">
        <w:rPr>
          <w:rFonts w:ascii="Times New Roman" w:eastAsia="Calibri" w:hAnsi="Times New Roman" w:cs="Times New Roman"/>
          <w:sz w:val="28"/>
          <w:szCs w:val="28"/>
        </w:rPr>
        <w:t>Положения о счетной па</w:t>
      </w:r>
      <w:r w:rsidR="00443B4E">
        <w:rPr>
          <w:rFonts w:ascii="Times New Roman" w:eastAsia="Calibri" w:hAnsi="Times New Roman" w:cs="Times New Roman"/>
          <w:sz w:val="28"/>
          <w:szCs w:val="28"/>
        </w:rPr>
        <w:t>лате подготовлено заключение счё</w:t>
      </w:r>
      <w:r w:rsidRPr="00CA4C54">
        <w:rPr>
          <w:rFonts w:ascii="Times New Roman" w:eastAsia="Calibri" w:hAnsi="Times New Roman" w:cs="Times New Roman"/>
          <w:sz w:val="28"/>
          <w:szCs w:val="28"/>
        </w:rPr>
        <w:t>тной палаты на отчет об исполнении бюдже</w:t>
      </w:r>
      <w:r w:rsidR="00D20C59">
        <w:rPr>
          <w:rFonts w:ascii="Times New Roman" w:eastAsia="Calibri" w:hAnsi="Times New Roman" w:cs="Times New Roman"/>
          <w:sz w:val="28"/>
          <w:szCs w:val="28"/>
        </w:rPr>
        <w:t>та города Нижневартовска за 2016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 год (далее-Заключение). </w:t>
      </w:r>
    </w:p>
    <w:p w:rsidR="00D20C59" w:rsidRPr="00D20C59" w:rsidRDefault="00CB3760" w:rsidP="00D20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27C">
        <w:rPr>
          <w:rFonts w:ascii="Times New Roman" w:eastAsia="Calibri" w:hAnsi="Times New Roman" w:cs="Times New Roman"/>
          <w:sz w:val="28"/>
          <w:szCs w:val="28"/>
        </w:rPr>
        <w:lastRenderedPageBreak/>
        <w:t>Цел</w:t>
      </w:r>
      <w:r w:rsidR="0091127C" w:rsidRPr="0091127C">
        <w:rPr>
          <w:rFonts w:ascii="Times New Roman" w:eastAsia="Calibri" w:hAnsi="Times New Roman" w:cs="Times New Roman"/>
          <w:sz w:val="28"/>
          <w:szCs w:val="28"/>
        </w:rPr>
        <w:t>и</w:t>
      </w:r>
      <w:r w:rsidRPr="0091127C">
        <w:rPr>
          <w:rFonts w:ascii="Times New Roman" w:eastAsia="Calibri" w:hAnsi="Times New Roman" w:cs="Times New Roman"/>
          <w:sz w:val="28"/>
          <w:szCs w:val="28"/>
        </w:rPr>
        <w:t xml:space="preserve"> мероприятия:</w:t>
      </w:r>
      <w:r w:rsidR="00D20C59" w:rsidRPr="0091127C">
        <w:t xml:space="preserve"> </w:t>
      </w:r>
      <w:r w:rsidR="0091127C" w:rsidRPr="0091127C">
        <w:rPr>
          <w:sz w:val="28"/>
          <w:szCs w:val="28"/>
        </w:rPr>
        <w:t>а</w:t>
      </w:r>
      <w:r w:rsidR="00D20C59" w:rsidRPr="0091127C">
        <w:rPr>
          <w:rFonts w:ascii="Times New Roman" w:eastAsia="Calibri" w:hAnsi="Times New Roman" w:cs="Times New Roman"/>
          <w:sz w:val="28"/>
          <w:szCs w:val="28"/>
        </w:rPr>
        <w:t>нализ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 xml:space="preserve"> соблюдения требований законодательства в части органи</w:t>
      </w:r>
      <w:r w:rsidR="0091127C">
        <w:rPr>
          <w:rFonts w:ascii="Times New Roman" w:eastAsia="Calibri" w:hAnsi="Times New Roman" w:cs="Times New Roman"/>
          <w:sz w:val="28"/>
          <w:szCs w:val="28"/>
        </w:rPr>
        <w:t>зации исполнения бюджета города; у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 xml:space="preserve">становление законности, полноты и достоверности представленной бюджетной отчетности главных </w:t>
      </w:r>
      <w:r w:rsidR="0091127C">
        <w:rPr>
          <w:rFonts w:ascii="Times New Roman" w:eastAsia="Calibri" w:hAnsi="Times New Roman" w:cs="Times New Roman"/>
          <w:sz w:val="28"/>
          <w:szCs w:val="28"/>
        </w:rPr>
        <w:t xml:space="preserve">администраторов бюджетных средств, а также 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>соответствия фактического исполнения бюджета города его плановым назначениям</w:t>
      </w:r>
      <w:r w:rsidR="0091127C">
        <w:rPr>
          <w:rFonts w:ascii="Times New Roman" w:eastAsia="Calibri" w:hAnsi="Times New Roman" w:cs="Times New Roman"/>
          <w:sz w:val="28"/>
          <w:szCs w:val="28"/>
        </w:rPr>
        <w:t>; о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 xml:space="preserve">ценка эффективности использования в </w:t>
      </w:r>
      <w:r w:rsidR="0091127C">
        <w:rPr>
          <w:rFonts w:ascii="Times New Roman" w:eastAsia="Calibri" w:hAnsi="Times New Roman" w:cs="Times New Roman"/>
          <w:sz w:val="28"/>
          <w:szCs w:val="28"/>
        </w:rPr>
        <w:t>отчетном году бюджетных средств; о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>ценка мер, принятых в отчетном году для достижения задач, основных направлени</w:t>
      </w:r>
      <w:r w:rsidR="0091127C">
        <w:rPr>
          <w:rFonts w:ascii="Times New Roman" w:eastAsia="Calibri" w:hAnsi="Times New Roman" w:cs="Times New Roman"/>
          <w:sz w:val="28"/>
          <w:szCs w:val="28"/>
        </w:rPr>
        <w:t>й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 xml:space="preserve"> бюджет</w:t>
      </w:r>
      <w:r w:rsidR="0091127C">
        <w:rPr>
          <w:rFonts w:ascii="Times New Roman" w:eastAsia="Calibri" w:hAnsi="Times New Roman" w:cs="Times New Roman"/>
          <w:sz w:val="28"/>
          <w:szCs w:val="28"/>
        </w:rPr>
        <w:t xml:space="preserve">ной и налоговой политики города; 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ab/>
      </w:r>
      <w:r w:rsidR="0091127C">
        <w:rPr>
          <w:rFonts w:ascii="Times New Roman" w:eastAsia="Calibri" w:hAnsi="Times New Roman" w:cs="Times New Roman"/>
          <w:sz w:val="28"/>
          <w:szCs w:val="28"/>
        </w:rPr>
        <w:t>п</w:t>
      </w:r>
      <w:r w:rsidR="00D20C59" w:rsidRPr="00D20C59">
        <w:rPr>
          <w:rFonts w:ascii="Times New Roman" w:eastAsia="Calibri" w:hAnsi="Times New Roman" w:cs="Times New Roman"/>
          <w:sz w:val="28"/>
          <w:szCs w:val="28"/>
        </w:rPr>
        <w:t>ринятие мер по повышению эффективности управления муниципальными финансами и муниципальным имуществом.</w:t>
      </w:r>
    </w:p>
    <w:p w:rsidR="000D34C1" w:rsidRPr="00704D6F" w:rsidRDefault="0093005E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 </w:t>
      </w:r>
      <w:r w:rsidR="0091127C" w:rsidRPr="0091127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</w:t>
      </w:r>
      <w:r w:rsidRPr="0091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</w:t>
      </w:r>
      <w:r w:rsidRPr="0091127C">
        <w:rPr>
          <w:rFonts w:ascii="Times New Roman" w:eastAsia="Calibri" w:hAnsi="Times New Roman" w:cs="Times New Roman"/>
          <w:sz w:val="28"/>
          <w:szCs w:val="28"/>
        </w:rPr>
        <w:t xml:space="preserve"> установлено, что </w:t>
      </w:r>
      <w:r w:rsidRPr="009112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бюдже</w:t>
      </w:r>
      <w:r w:rsidR="0091127C" w:rsidRPr="0091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тного и иного законодательства </w:t>
      </w:r>
      <w:r w:rsidRPr="00911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исполнении расходов бюджета города, в целом соблюдены, направление расходования бюджетных средств в основной своей массе соответствовали направлениям бюджетной </w:t>
      </w:r>
      <w:r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политики города. </w:t>
      </w:r>
    </w:p>
    <w:p w:rsidR="00C936F1" w:rsidRDefault="0093005E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201</w:t>
      </w:r>
      <w:r w:rsidR="0091127C"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C936F1"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факты нарушения законодательства в части</w:t>
      </w:r>
      <w:r w:rsidR="00C9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36F1" w:rsidRPr="00C93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</w:t>
      </w:r>
      <w:r w:rsidR="00C936F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936F1" w:rsidRPr="00C9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инвестиций в объекты муниципа</w:t>
      </w:r>
      <w:r w:rsidR="00C93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собственности; </w:t>
      </w:r>
      <w:r w:rsidR="00C936F1" w:rsidRPr="00C936F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регулирования порядка и условий предоставления субсидий из бюджета города</w:t>
      </w:r>
      <w:r w:rsidR="00C936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4D6F" w:rsidRPr="00704D6F">
        <w:t xml:space="preserve"> </w:t>
      </w:r>
      <w:r w:rsidR="00704D6F"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расходов, предоставленных в виде субсидий муниципальным автономным и бюджетным учреждениям города</w:t>
      </w:r>
      <w:r w:rsid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иным юридическим лицам; </w:t>
      </w:r>
      <w:r w:rsidR="00704D6F"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программной составляющей бюджета города</w:t>
      </w:r>
      <w:r w:rsid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04D6F" w:rsidRPr="00704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бюджетных полномочий главными администраторами (администраторами) доходов бюджета города</w:t>
      </w:r>
      <w:r w:rsidR="005F1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3005E" w:rsidRPr="00D20C59" w:rsidRDefault="005F1B4B" w:rsidP="00467DB4">
      <w:pPr>
        <w:tabs>
          <w:tab w:val="left" w:pos="851"/>
          <w:tab w:val="num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5F1B4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3005E" w:rsidRPr="005F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 ряд нарушений </w:t>
      </w:r>
      <w:r w:rsidRPr="005F1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F1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предоставления, составления, заполнения годовой бюджетной отчетности главных администраторов средств бюджета города, главных распорядителей, бюджета 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93005E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в свою очередь в целом не повлияли на достоверность бюджетной отчетности, однако отрицательно повлияли на и</w:t>
      </w:r>
      <w:r w:rsidR="0093005E" w:rsidRPr="00B06B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нформативность</w:t>
      </w:r>
      <w:r w:rsidR="0093005E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бюджетной отчетности</w:t>
      </w:r>
      <w:r w:rsidR="00B06B4A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4" w:rsidRPr="00B06B4A" w:rsidRDefault="00B72CC0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заключении </w:t>
      </w:r>
      <w:r w:rsidR="00A7765E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</w:t>
      </w:r>
      <w:r w:rsidR="00CA4C54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на отчет об исполнении бюджет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города Нижневартовска </w:t>
      </w:r>
      <w:r w:rsidR="0093005E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 w:rsidR="00B06B4A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4C54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предлагалось администрации города:</w:t>
      </w:r>
    </w:p>
    <w:p w:rsidR="00B06B4A" w:rsidRPr="00B06B4A" w:rsidRDefault="00B06B4A" w:rsidP="008A1691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беспечить принятие нормативных правовых актов, необходимых для исполнения бюджета города, по видам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нарушений;</w:t>
      </w:r>
    </w:p>
    <w:p w:rsidR="00B06B4A" w:rsidRPr="00B06B4A" w:rsidRDefault="00B06B4A" w:rsidP="008A1691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беспечить составление и представление бюджетной отчетности в соответствии с требованиями действующих нормативных правовых актов.</w:t>
      </w:r>
    </w:p>
    <w:p w:rsidR="00B06B4A" w:rsidRDefault="00B06B4A" w:rsidP="008A1691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устра</w:t>
      </w:r>
      <w:r w:rsidR="00443B4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нению нарушений, указанных счё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палатой, и представить отчет об устранении данных видов нарушений. </w:t>
      </w:r>
    </w:p>
    <w:p w:rsidR="00B06B4A" w:rsidRPr="00B06B4A" w:rsidRDefault="00B06B4A" w:rsidP="008A1691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проведенного анализа рекомендовано п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меры по повышению качества управления муниципальными финансами, сокращению дебиторской задолженности, повышению эффективности администрирования доходов.</w:t>
      </w:r>
    </w:p>
    <w:p w:rsidR="00B06B4A" w:rsidRPr="00B06B4A" w:rsidRDefault="00B06B4A" w:rsidP="008A1691">
      <w:pPr>
        <w:pStyle w:val="a8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ассмотреть вопрос об ответственности должностных лиц, допустивших нарушения в ходе исполнения бюджета за 2016 год.</w:t>
      </w:r>
    </w:p>
    <w:p w:rsidR="00CA7538" w:rsidRPr="00B06B4A" w:rsidRDefault="00B72CC0" w:rsidP="00467DB4">
      <w:pPr>
        <w:tabs>
          <w:tab w:val="num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Детальный анализ расходов</w:t>
      </w:r>
      <w:r w:rsid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доходов в ходе</w:t>
      </w:r>
      <w:r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7538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</w:t>
      </w:r>
      <w:r w:rsid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7538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</w:t>
      </w:r>
      <w:r w:rsidR="00CA7538" w:rsidRPr="00B06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отображен в заключении.</w:t>
      </w:r>
    </w:p>
    <w:p w:rsidR="00CA4C54" w:rsidRPr="00E622F4" w:rsidRDefault="00CA4C54" w:rsidP="00E622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предварительного аудита (контроля) за формированием бюдже</w:t>
      </w:r>
      <w:r w:rsidR="00FF3D8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города Нижневартовска на 201</w:t>
      </w:r>
      <w:r w:rsidR="00B06B4A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7538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B06B4A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2019-2020 годов</w:t>
      </w:r>
      <w:r w:rsidR="00A77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счё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палатой в четвертом квартале</w:t>
      </w:r>
      <w:r w:rsidR="00B06B4A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проанализированы </w:t>
      </w:r>
      <w:r w:rsidR="00E9206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206A" w:rsidRPr="00E92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направления бюджетной и налоговой политики города Нижневартовска на 2018 год и на плановый период 2019 и 2020 годов</w:t>
      </w:r>
      <w:r w:rsid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осуществлена проверка соответствия требованиям </w:t>
      </w:r>
      <w:r w:rsidR="00E622F4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документов и материа</w:t>
      </w:r>
      <w:r w:rsidR="00B72CC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лов, представленных с проектом р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ешения </w:t>
      </w:r>
      <w:r w:rsidR="00E622F4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местном бюджете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оценено состояние нормативной и методической базы, регламентирующей порядок формирования проекта бюджета, и обоснованность расчетов параметров основных</w:t>
      </w:r>
      <w:r w:rsidR="00B72CC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прогнозных показателей бюджета.</w:t>
      </w:r>
    </w:p>
    <w:p w:rsidR="00CA4C54" w:rsidRPr="00E622F4" w:rsidRDefault="000A657E" w:rsidP="00467DB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A4C54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финансовой экспертизы подготовлено и направлено в Думу города заключение на проект </w:t>
      </w:r>
      <w:r w:rsidR="00B72CC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CA4C54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Думы города «О бюдже</w:t>
      </w:r>
      <w:r w:rsidR="00FF3D8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города Нижневартовска на 201</w:t>
      </w:r>
      <w:r w:rsid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A4C54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2019-2020 годов</w:t>
      </w:r>
      <w:r w:rsidR="00CA4C54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622F4" w:rsidRDefault="00CA4C54" w:rsidP="00467DB4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проекта бюдже</w:t>
      </w:r>
      <w:r w:rsidR="00170F11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города Нижневартовска на 2018</w:t>
      </w:r>
      <w:r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показал, что проект бюджета </w:t>
      </w:r>
      <w:r w:rsidR="00E622F4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основных своих параметрах отвечает требованиям бюджетной политики города, характеризуется как сбалансированный и соответствующий требованиям бюджетного законодательства Российской Федерации</w:t>
      </w:r>
      <w:r w:rsidR="00170F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3D80" w:rsidRDefault="00CA4C54" w:rsidP="00467DB4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Вместе с тем, </w:t>
      </w:r>
      <w:r w:rsidR="00B72CC0" w:rsidRPr="00E62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170F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чё</w:t>
      </w:r>
      <w:r w:rsidR="00FF3D80" w:rsidRPr="00E62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тной палатой установлен требующий внимания ряд проблем и замечаний</w:t>
      </w:r>
      <w:r w:rsidR="00FF3D8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 проекта </w:t>
      </w:r>
      <w:r w:rsidR="00B72CC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FF3D80" w:rsidRPr="00E622F4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о бюджете города, а именно:</w:t>
      </w:r>
    </w:p>
    <w:p w:rsidR="00E622F4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главными администраторами доходов бюджета города из числа органов местного самоуправления утвержденные ими методики прогнозирования поступления доходов не приведены в соответствие с Общими требованиями к методике прогнозирования с учетом внесенных в 2017 году изменений;</w:t>
      </w:r>
    </w:p>
    <w:p w:rsidR="00E622F4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прогнозе поступлений от налогов на совокупный доход отсутствует оценка объема выпадающих доходов бюджета города в результате предоставления «налоговых каникул» для вновь зарегистрированных индивидуальных предпринимателей по отдельным видам деятельности;</w:t>
      </w:r>
    </w:p>
    <w:p w:rsidR="00E9206A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учтены факторы, влияющие на увеличение поступления акцизов на нефтепродукты при прогнозировании доходов планового периода</w:t>
      </w:r>
      <w:r w:rsidR="00E9206A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E622F4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прогнозных показателях неналоговых доходов главного администратора доходов бюджета города администрации города отсутствуют расчет объема выпадающих доходов по их источникам в связи с применением установленных льгот, освобождений;</w:t>
      </w:r>
    </w:p>
    <w:p w:rsidR="00E9206A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установлены случаи, когда при прогнозировании главными администраторами доходов бюджет города не учтены отдельные факторы, влияющие на увеличение поступлений доходов в бюджет города, в результате которых образуется потенциальный резерв поступлений на прогнозируемые периоды по </w:t>
      </w:r>
      <w:r w:rsidR="00E9206A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некоторым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9206A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налоговым и неналоговым доходам</w:t>
      </w:r>
    </w:p>
    <w:p w:rsidR="00E622F4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имеются риски недополучения в бюджет города неналоговых доходов по дивиденд</w:t>
      </w:r>
      <w:r w:rsidR="00E9206A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ам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 акциям, принадлежащим муниципальному образованию</w:t>
      </w:r>
      <w:r w:rsidR="00E9206A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платежей от унитарных предприятий в виде отчисления части прибыли.</w:t>
      </w:r>
    </w:p>
    <w:p w:rsidR="00E622F4" w:rsidRPr="00E9206A" w:rsidRDefault="00E9206A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выявлены</w:t>
      </w:r>
      <w:r w:rsidR="00E622F4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нарушения и замечания в части ведения реестра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расходных обязательств города;</w:t>
      </w:r>
    </w:p>
    <w:p w:rsidR="00E9206A" w:rsidRDefault="00E9206A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62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нарушени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и замечания</w:t>
      </w:r>
      <w:r w:rsidRPr="00E622F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</w:t>
      </w:r>
      <w:r w:rsidR="00E622F4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622F4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бюджетных ассигнований на осуществление бюджетных инвестиций в объекты мун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иципальной собственности города;</w:t>
      </w:r>
    </w:p>
    <w:p w:rsidR="00E622F4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установлены факты, которые свидетельствует об отсутствии единых подходов к определению целевых показателей</w:t>
      </w:r>
      <w:r w:rsid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муниципальных программ города и их значений;</w:t>
      </w:r>
    </w:p>
    <w:p w:rsidR="00E622F4" w:rsidRPr="00E9206A" w:rsidRDefault="00E9206A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нарушения при</w:t>
      </w:r>
      <w:r w:rsidR="00E622F4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планировани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="00E622F4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бюджетных ассигнований на осуществление закупок товаров, работ, услуг для обес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печения муниципальных нужд были;</w:t>
      </w:r>
    </w:p>
    <w:p w:rsidR="00E622F4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несоблюдение положений бюджетного законодательства по установлению в проекте </w:t>
      </w:r>
      <w:r w:rsidR="00E9206A"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ешения о бюджете случаев предоставления субсидий из бюджета города коммерческим организациям</w:t>
      </w:r>
      <w:r w:rsid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E622F4" w:rsidRPr="00E9206A" w:rsidRDefault="00E622F4" w:rsidP="008A1691">
      <w:pPr>
        <w:pStyle w:val="a8"/>
        <w:numPr>
          <w:ilvl w:val="0"/>
          <w:numId w:val="6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привлечение дополнительных собственных средств бюджета города на осуществление переданных государственных полномочий без соблюдения требований, предусматривающих </w:t>
      </w:r>
      <w:r w:rsid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обязательное 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наличие решения о разрешении дополнительного использования собственных финансовых средств</w:t>
      </w:r>
      <w:r w:rsidR="00443B4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E9206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B9162C" w:rsidRPr="008F7447" w:rsidRDefault="00B9162C" w:rsidP="00467DB4">
      <w:pPr>
        <w:tabs>
          <w:tab w:val="num" w:pos="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Детальный анализ  доходов и расходов  по проекту бюджета отображен в </w:t>
      </w:r>
      <w:r w:rsidR="008F7447"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соответствующем </w:t>
      </w:r>
      <w:r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заключении.</w:t>
      </w:r>
    </w:p>
    <w:p w:rsidR="00CA4C54" w:rsidRDefault="00CA4C54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текущего контроля исполнения бюджета в отчетном году сче</w:t>
      </w:r>
      <w:r w:rsidR="00F9024B"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палатой было подготовлено </w:t>
      </w:r>
      <w:r w:rsid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экспертных заключений на проекты </w:t>
      </w:r>
      <w:r w:rsidR="00B72CC0"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ешений Думы  о внесении изменений  «О бюдже</w:t>
      </w:r>
      <w:r w:rsidR="00F9024B"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города Нижневартовска на 201</w:t>
      </w:r>
      <w:r w:rsid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024B"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2018-2020 годов</w:t>
      </w:r>
      <w:r w:rsidR="00F9024B"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447" w:rsidRDefault="008F7447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54" w:rsidRPr="00F115D1" w:rsidRDefault="00CA4C54" w:rsidP="008A1691">
      <w:pPr>
        <w:pStyle w:val="a8"/>
        <w:widowControl w:val="0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1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деятельность</w:t>
      </w:r>
    </w:p>
    <w:p w:rsidR="00CA4C54" w:rsidRPr="00CA4C54" w:rsidRDefault="00CA4C54" w:rsidP="00CA4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4C54" w:rsidRPr="00A4612D" w:rsidRDefault="00F9024B" w:rsidP="00467DB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1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палаты в 201</w:t>
      </w:r>
      <w:r w:rsidR="008F744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4C54" w:rsidRPr="00A46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построена с учетом наиболее проблемных зон города в данной сфере. В сложившейся экономической ситуации, при проведении контрольных мероприятий особое внимание уделялось поиску возможностей повышения эффективности деятельности, роста доходности учреждений и, как следствие, снижения бюджетной нагрузки. </w:t>
      </w:r>
    </w:p>
    <w:p w:rsidR="00CA4C54" w:rsidRPr="00F9024B" w:rsidRDefault="00CA4C54" w:rsidP="00467DB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Open Sans" w:eastAsia="Times New Roman" w:hAnsi="Open Sans" w:cs="Helvetica"/>
          <w:color w:val="333333"/>
          <w:sz w:val="28"/>
          <w:szCs w:val="28"/>
          <w:lang w:eastAsia="ru-RU"/>
        </w:rPr>
        <w:t xml:space="preserve">        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рамках контрольного мероприятия проведен </w:t>
      </w:r>
      <w:r w:rsidRPr="000A0C3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аудит в сфере закупок  в  2-х  муниципальных бюджетных учреждениях «Дворец культуры «Октябрь» и «Центр национальных культур»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результате которого установлено следующее: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 в результате анализа организационного и нормативного обеспечения проведения закупок учреждениями нарушений не установлено. Закупок, не соответствующих целям их деятельности и не направленных на выполнение их задач, установленных </w:t>
      </w:r>
      <w:r w:rsidRPr="0033317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уставами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 выявлено. Расходы, понесенные учреждениями на закупки, в общей массе являются результативными. При анализе своевременности расходов на закупки в целом, нарушений не выявлено. Способы определения поставщика в большей части случаев основаны на положениях, предусмотренных законодательством в сфере закупок. </w:t>
      </w:r>
    </w:p>
    <w:p w:rsidR="000A0C3E" w:rsidRPr="000A0C3E" w:rsidRDefault="000A0C3E" w:rsidP="00CE5D0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     Однако установлены факты: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наличия   определенных  ошибок  и    нарушений  при   осуществлении  планирования в сфере закупок;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превышения МБУ «ДК «Октябрь»» лимита осуществления закупок путем заключения договоров с единственным поставщиком;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размещения недостоверной информации, включенной в отчет об объеме закупок у субъектов малого предпринимательства и социально ориентированных некоммерческих организаций; </w:t>
      </w:r>
    </w:p>
    <w:p w:rsidR="000A0C3E" w:rsidRPr="000A0C3E" w:rsidRDefault="000A0C3E" w:rsidP="00CE5D01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• завышения НМЦК по сравнению со средними ценами, установленными другими заказчиками Ханты-Мансийского автономного округа;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необоснованного выбора способа определения поставщиков;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не размещения извещений о закупках, когда их размещение обязательно, по причине неправильного способа определения поставщика (подрядчика, исполнителя);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• когда учреждением были заключены контракты ранее установленного законом   срока;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• когда учреждениями не составлялись и не размещались в ЕИС отчеты об исполнении отдельного этапа исполнения муниципального контракта;</w:t>
      </w:r>
    </w:p>
    <w:p w:rsidR="000A0C3E" w:rsidRPr="000A0C3E" w:rsidRDefault="000A0C3E" w:rsidP="00CE5D0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• не размещения и несвоевременного размещения информации об исполнении муниципального контракта.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       По итогам составлены акты в отношении каждого из учреждений, направлены отчеты Председателю Думы города и Главе города, а также прокурору города направлена информация о рассмотрении вышеуказанных фактов и принятия решения о наличии в них признаков административных правонарушений. 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Краткая информация о результатах контрольного мероприятия «Проверка исполнения муниципального контракта от 19.12.2014 №01877300001214000879-0186834-02 в части очистки городских автомобильных дорог и вывоза снега за 2016 год (на выборочной основе)». </w:t>
      </w:r>
      <w:r w:rsidRPr="000A0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 По результатам контрольного мероприятия установлено: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1. Муниципальным контрактом не определён перечень исполнительной документации, необходимой для оформления акта выполненных работ </w:t>
      </w:r>
    </w:p>
    <w:p w:rsidR="000A0C3E" w:rsidRPr="000A0C3E" w:rsidRDefault="000A0C3E" w:rsidP="000A0C3E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(форма № КС-2). 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2. Сравнительный анализ количества осадков, учтенных в расчетах при составлении актов выполненных работ, с количеством выпавших осадков согласно гидрометеорологическим наблюдениям показал, что количество осадков по справке гидрометеослужбы не было положено в основу составления актов выполненных работ формы № КС-2, но в итоге за зимний период 2016 года не превышает количества осадков по справке гидрометеослужбы (ниже на 42,57 см.).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          В результате проведенного контрольного мероприятия отчет направлен Председателю Думы города и объектам контрольного мероприятия.  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Краткая информация о результатах контрольного мероприятия «Проверка эффективности деятельности и использования муниципального имущества муниципальным унитарным предприятием «Специализированное автотранспортное управление» за 9 месяцев 2016 года» </w:t>
      </w:r>
      <w:r w:rsidRPr="000A0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По результатам контрольного мероприятия установлено: 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Доходы Предприятия за 9 месяцев 2016 года составили в сумме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492 748,70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тыс. рублей, расходы - </w:t>
      </w: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489 466,70 тыс. рублей,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прибыль до налогообложения - </w:t>
      </w: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3 282,0 тыс. рублей,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чистая прибыль - </w:t>
      </w: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773,0 тыс. рублей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План Производственной программы по доходам исполнен на 121,5%, по расходам - 122,6 %, чистой прибыли – 15,3%.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Анализ исполнения показателей Производственной программы Предприятия, показал, что финансовое положение Предприятия за 9 месяцев 2016 года сложилось более чем устойчиво. Все установленные Положением о плане ФХД пороговые значения показателей платежеспособности, финансовой устойчивости, за исключением показателей рентабельности, в целом достигнуты.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Вместе с тем в ходе анализа финансово-хозяйственной деятельности, эффективности использования муниципального имущества установлены отдельные замечания и нарушения норм действующего законодательства, муниципальных правовых актов, а именно: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несоответствие отдельных положений Устава и локальных документов законодательству, муниципальным правовым актам;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случаи нарушения отдельных условий договора по предоставлению субсидии на возмещение затрат, и ведения бухгалтерского учета полученной субсидии из бюджета города,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нарушение требований федерального законодательства, муниципальных правовых актов и Устава в части распоряжения и управления муниципальным имуществом и учета основных средств, неэффективное использование муниципального недвижимого и движимого имущества, закрепленного за Предприятием на праве хозяйственного ведения,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· случаи нарушения оплаты  труда  и премирования работников; 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 допущены случаи нарушения законодательства о закупках на всех стадиях организации и осуществления Предприятием закупочной деятельности;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и другие нарушения.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По итогам контрольного мероприятия направлены отчет  Председателю Думы города  и представление Главе города для рассмотрения и устранения выявленных фактов замечаний и нарушений</w:t>
      </w:r>
      <w:r w:rsidRPr="000A0C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Open Sans" w:eastAsia="Times New Roman" w:hAnsi="Open Sans" w:cs="Helvetica"/>
          <w:b/>
          <w:bCs/>
          <w:color w:val="333333"/>
          <w:sz w:val="21"/>
          <w:szCs w:val="21"/>
          <w:lang w:eastAsia="ru-RU"/>
        </w:rPr>
      </w:pP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Краткая информация о результатах контрольного мероприятия «Проверка эффективности деятельности муниципального унитарного предприятия «Бюро технической инвентаризации, учета </w:t>
      </w:r>
      <w:r w:rsidRPr="000A0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недвижимости и приватизации жилья города Нижневартовска» за 2015 год на объекте: муниципальное унитарное предприятие «Бюро технической инвентаризации, учета недвижимости и приватизации жилья города Нижневартовска»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        Доход Предприятия за  2015 год составил в сумме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hAnsi="Times New Roman" w:cs="Times New Roman"/>
          <w:sz w:val="28"/>
          <w:szCs w:val="28"/>
        </w:rPr>
        <w:t xml:space="preserve">57 938 </w:t>
      </w: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тыс. рублей, расходы - </w:t>
      </w:r>
      <w:r w:rsidRPr="000A0C3E">
        <w:rPr>
          <w:rFonts w:ascii="Times New Roman" w:hAnsi="Times New Roman" w:cs="Times New Roman"/>
          <w:sz w:val="28"/>
          <w:szCs w:val="28"/>
        </w:rPr>
        <w:t xml:space="preserve">55 125,0 </w:t>
      </w: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тыс. рублей,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прибыль до налогообложения - </w:t>
      </w: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 xml:space="preserve">3 282,0 тыс. рублей,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чистая прибыль - </w:t>
      </w:r>
      <w:r w:rsidRPr="000A0C3E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773,0 тыс. рублей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План Производственной программы по доходам исполнен на </w:t>
      </w:r>
      <w:r w:rsidRPr="000A0C3E">
        <w:rPr>
          <w:spacing w:val="1"/>
          <w:sz w:val="28"/>
          <w:szCs w:val="28"/>
        </w:rPr>
        <w:t xml:space="preserve">119,6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%, по расходам - 123 %. Получена чистая прибыль – </w:t>
      </w:r>
      <w:r w:rsidRPr="000A0C3E">
        <w:rPr>
          <w:rFonts w:ascii="Times New Roman" w:hAnsi="Times New Roman" w:cs="Times New Roman"/>
          <w:i/>
          <w:sz w:val="28"/>
          <w:szCs w:val="28"/>
        </w:rPr>
        <w:t>634,0 тыс.руб.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Анализ исполнения показателей Производственной программы Предприятия, показал, что финансовое положение Предприятия за  2015 год сложилось  устойчивое. 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 По результатам контрольного мероприятия выявлены следующие нарушения на общую сумму 8 446,50 тыс. рублей, большая часть (77,8%) которых, отнесена прочим расходам (6 568,61 тыс. рублей) возникшие в результате недолжного исполнения должностными лицами объекта контрольного мероприятия возложенных полномочий, что явилось следствием ряда существенных противоречий требованиям, установленным действующим законодательством федерального и муниципального уровня, иным распорядительным, локальным документам, в том числе: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  • не соблюдение правил ведения бухгалтерского и налогового учета, выразившегося в не достоверности данных бухгалтерского, и налогового учета и искажении показателей бухгалтерской (финансовой), и налоговой отчетности;  </w:t>
      </w:r>
    </w:p>
    <w:p w:rsidR="000A0C3E" w:rsidRPr="000A0C3E" w:rsidRDefault="00333175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</w:t>
      </w:r>
      <w:r w:rsidR="000A0C3E"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отсутствие полноты и достоверности заполнения показателей производственной программы финансово-хозяйственной деятельности;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• необоснованное и неправомерное использованием денежных средств на оплату труда; 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 </w:t>
      </w:r>
      <w:r w:rsidR="003331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не соблюдение порядка организации закупочных процедур, в части размещения в единой информационной системе информации документов, предусмотренных требованиями законодательства, а также выбора способа определения поставщика (подрядчика, исполнителя), путем осуществления закупки у единственного поставщика; </w:t>
      </w:r>
    </w:p>
    <w:p w:rsidR="000A0C3E" w:rsidRPr="00333175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</w:pPr>
      <w:r w:rsidRPr="00333175">
        <w:rPr>
          <w:rFonts w:ascii="Times New Roman" w:eastAsia="Times New Roman" w:hAnsi="Times New Roman" w:cs="Times New Roman"/>
          <w:strike/>
          <w:color w:val="FF0000"/>
          <w:sz w:val="28"/>
          <w:szCs w:val="28"/>
          <w:lang w:eastAsia="ru-RU"/>
        </w:rPr>
        <w:t>    • и прочее.</w:t>
      </w:r>
    </w:p>
    <w:p w:rsidR="000A0C3E" w:rsidRPr="000A0C3E" w:rsidRDefault="000A0C3E" w:rsidP="000A0C3E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 По итогам контрольного мероприятия направлены отчет Председателю Думы города и представление Главе города для рассмотрения и устранения выявленных фактов замечаний и нарушений.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Краткая информация о результатах контрольного мероприятия «Проверка правомерности и результативности предоставления средств бюджета города, направленных на деятельность территориальной психолого-педагогической комиссии, выделенных в виде субсидий МАУ «Центр развития образования» на 2016-2017 годы»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    В рамках контрольного мероприятия проведена проверка правомерности и результативности предоставления средств бюджета города, направленных на деятельность территориальной психолого-педагогической комиссии, выделенных в виде субсидий МАУ «Центр развития образования», в результате которого установлено </w:t>
      </w:r>
      <w:r w:rsidRPr="000A0C3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следующее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 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1. В результате анализа законодательства, регламентирующего полномочия органов местного самоуправления в части организации деятельности территориальной психолого-педагогической комиссии и принимаемых в соответствии с ним муниципальных правовых актов города Нижневартовска, было выявлено, что Администрацией города Нижневартовска, за пределами своих полномочий принято решение по участию в осуществлении государственного полномочия, не переданного городу Нижневартовску в соответствии со статьей 19 Федерального закона №131-ФЗ, которое в соответствие с законодательством реализуется решением представительного органа муниципального образования. 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2. Департаментом образования администрации города не надлежащим образом осуществлялись соответствующие полномочия учредителя по отношению к муниципальному автономному учреждению города Нижневартовска «Центр развития образования» в части формирования муниципального задания и заключения соглашений на его выполнение в нарушение бюджетного законодательства и принимаемого в соответствии с ним муниципального правового акта. </w:t>
      </w:r>
    </w:p>
    <w:p w:rsidR="000A0C3E" w:rsidRPr="000A0C3E" w:rsidRDefault="000A0C3E" w:rsidP="000A0C3E">
      <w:pPr>
        <w:shd w:val="clear" w:color="auto" w:fill="FFFFFF"/>
        <w:spacing w:after="15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3. В результате не надлежащего исполнения Департаментом образования администрации города полномочий учредителя муниципальным автономным учреждением города Нижневартовска «Центр развития образования» совершено административное правонарушение, ответственность за которое установлена частью 2 статьи 15.15.5 «Нарушение условий предоставления субсидий» Кодекса Российской Федерации об административных правонарушениях, выразившееся в расходование субсидии на осуществление деятельности территориальной психолого – педагогической комиссии города Нижневартовск, не предусмотренной Соглашением на 2016 год. </w:t>
      </w:r>
    </w:p>
    <w:p w:rsidR="000A0C3E" w:rsidRPr="000A0C3E" w:rsidRDefault="000A0C3E" w:rsidP="000A0C3E">
      <w:pPr>
        <w:shd w:val="clear" w:color="auto" w:fill="FFFFFF"/>
        <w:spacing w:line="240" w:lineRule="auto"/>
        <w:jc w:val="both"/>
        <w:textAlignment w:val="top"/>
        <w:rPr>
          <w:rFonts w:ascii="Open Sans" w:eastAsia="Times New Roman" w:hAnsi="Open Sans" w:cs="Helvetica"/>
          <w:color w:val="333333"/>
          <w:sz w:val="21"/>
          <w:szCs w:val="21"/>
          <w:lang w:eastAsia="ru-RU"/>
        </w:rPr>
      </w:pP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По итогам контрольного мероприятия составлены акты в отношении каждого объекта проверки, направлены отчеты Председателю Думы города и Главе города, Департаменту образования администрации города и МАУ «Центр развития образования». Составлен Протокол о совершении административного правонарушения, ответственность за которое установлена частью 2 статьи 15.15.5 «Нарушение условий предоставления субсидий» Кодекса Российской Федерации об административных правонарушениях, а именно нарушение юридическим лицом, индивидуальным предпринимателем, физическим лицом, являющимися получателями субсидий, условий их предоставления, за исключением случаев, предусмотренных статьей 15.14 указанного кодекса</w:t>
      </w:r>
      <w:r w:rsidRPr="000A0C3E">
        <w:rPr>
          <w:rFonts w:ascii="Open Sans" w:eastAsia="Times New Roman" w:hAnsi="Open Sans" w:cs="Helvetica"/>
          <w:color w:val="333333"/>
          <w:sz w:val="21"/>
          <w:szCs w:val="21"/>
          <w:lang w:eastAsia="ru-RU"/>
        </w:rPr>
        <w:t xml:space="preserve">. </w:t>
      </w:r>
    </w:p>
    <w:p w:rsidR="000A0C3E" w:rsidRPr="000A0C3E" w:rsidRDefault="000A0C3E" w:rsidP="000A0C3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0C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Краткая информация о контрольном мероприятии «Оценка исчисления доходов, полученных в виде дивидендов за 2015 год по находящимся в муниципальной собственности акциям ОАО </w:t>
      </w:r>
      <w:r w:rsidRPr="000A0C3E">
        <w:rPr>
          <w:rFonts w:ascii="Times New Roman" w:eastAsia="Calibri" w:hAnsi="Times New Roman" w:cs="Times New Roman"/>
          <w:b/>
          <w:sz w:val="28"/>
          <w:szCs w:val="28"/>
        </w:rPr>
        <w:t>«Нижневартовская городская дезинфекционная станция» (по отдельным вопросам)</w:t>
      </w:r>
      <w:r w:rsidRPr="000A0C3E">
        <w:rPr>
          <w:rFonts w:ascii="Times New Roman" w:hAnsi="Times New Roman" w:cs="Times New Roman"/>
          <w:b/>
          <w:sz w:val="28"/>
          <w:szCs w:val="28"/>
        </w:rPr>
        <w:t xml:space="preserve">. Анализ </w:t>
      </w:r>
      <w:r w:rsidRPr="000A0C3E">
        <w:rPr>
          <w:rFonts w:ascii="Times New Roman" w:eastAsia="Calibri" w:hAnsi="Times New Roman" w:cs="Times New Roman"/>
          <w:b/>
          <w:sz w:val="28"/>
          <w:szCs w:val="28"/>
        </w:rPr>
        <w:t>эффективности управления пакетом акций</w:t>
      </w:r>
      <w:r w:rsidRPr="000A0C3E">
        <w:rPr>
          <w:rFonts w:ascii="Times New Roman" w:hAnsi="Times New Roman" w:cs="Times New Roman"/>
          <w:b/>
          <w:sz w:val="28"/>
          <w:szCs w:val="28"/>
        </w:rPr>
        <w:t xml:space="preserve"> ОАО </w:t>
      </w:r>
      <w:r w:rsidRPr="000A0C3E">
        <w:rPr>
          <w:rFonts w:ascii="Times New Roman" w:eastAsia="Calibri" w:hAnsi="Times New Roman" w:cs="Times New Roman"/>
          <w:b/>
          <w:sz w:val="28"/>
          <w:szCs w:val="28"/>
        </w:rPr>
        <w:t>«Нижневартовская городская дезинфекционная станция», находящимся в муниципальной собственности, за период 2013-2015 годов.»</w:t>
      </w:r>
    </w:p>
    <w:p w:rsidR="000A0C3E" w:rsidRPr="000A0C3E" w:rsidRDefault="000A0C3E" w:rsidP="000A0C3E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A0C3E" w:rsidRPr="000A0C3E" w:rsidRDefault="000A0C3E" w:rsidP="000A0C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3E">
        <w:rPr>
          <w:rFonts w:ascii="Times New Roman" w:eastAsia="Calibri" w:hAnsi="Times New Roman" w:cs="Times New Roman"/>
          <w:sz w:val="28"/>
          <w:szCs w:val="28"/>
        </w:rPr>
        <w:t>По результатам контрольного мероприятия установлено:</w:t>
      </w:r>
    </w:p>
    <w:p w:rsidR="000A0C3E" w:rsidRPr="000A0C3E" w:rsidRDefault="000A0C3E" w:rsidP="008A169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ряд нарушений действующего законодательства и Устава, а именно:</w:t>
      </w:r>
    </w:p>
    <w:p w:rsidR="000A0C3E" w:rsidRPr="000A0C3E" w:rsidRDefault="000A0C3E" w:rsidP="008A169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утверждено Положение о Совете директоров Общества;</w:t>
      </w:r>
    </w:p>
    <w:p w:rsidR="000A0C3E" w:rsidRPr="000A0C3E" w:rsidRDefault="000A0C3E" w:rsidP="008A169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принято Положение о директоре, что не позволяет оценить соответствие директора Общества занимаемой должности;</w:t>
      </w:r>
    </w:p>
    <w:p w:rsidR="000A0C3E" w:rsidRPr="000A0C3E" w:rsidRDefault="000A0C3E" w:rsidP="008A1691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согласия Совета директоров Общества директором Общества совмещается должность директора иного юридического лица – ООО «Дезстанция». </w:t>
      </w:r>
    </w:p>
    <w:p w:rsidR="000A0C3E" w:rsidRPr="000A0C3E" w:rsidRDefault="000A0C3E" w:rsidP="000A0C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hAnsi="Times New Roman" w:cs="Times New Roman"/>
          <w:sz w:val="28"/>
          <w:szCs w:val="28"/>
          <w:lang w:eastAsia="ru-RU"/>
        </w:rPr>
        <w:t xml:space="preserve">          В результате оценки законности и эффективности использования</w:t>
      </w:r>
    </w:p>
    <w:p w:rsidR="000A0C3E" w:rsidRPr="000A0C3E" w:rsidRDefault="000A0C3E" w:rsidP="000A0C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hAnsi="Times New Roman" w:cs="Times New Roman"/>
          <w:sz w:val="28"/>
          <w:szCs w:val="28"/>
          <w:lang w:eastAsia="ru-RU"/>
        </w:rPr>
        <w:t>имущества Общества установлены нарушения действующего законодательства в части бухгалтерского учета и факты неэффективного использования основных средств, а именно:</w:t>
      </w:r>
    </w:p>
    <w:p w:rsidR="000A0C3E" w:rsidRPr="000A0C3E" w:rsidRDefault="000A0C3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hAnsi="Times New Roman" w:cs="Times New Roman"/>
          <w:sz w:val="28"/>
          <w:szCs w:val="28"/>
          <w:lang w:eastAsia="ru-RU"/>
        </w:rPr>
        <w:t>факты неиспользования, либо частичного использования нежилых помещений Общества;</w:t>
      </w:r>
    </w:p>
    <w:p w:rsidR="000A0C3E" w:rsidRPr="000A0C3E" w:rsidRDefault="000A0C3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hAnsi="Times New Roman" w:cs="Times New Roman"/>
          <w:sz w:val="28"/>
          <w:szCs w:val="28"/>
          <w:lang w:eastAsia="ru-RU"/>
        </w:rPr>
        <w:t>- не должное ведение претензионной работы с арендаторами-должниками;</w:t>
      </w:r>
    </w:p>
    <w:p w:rsidR="000A0C3E" w:rsidRPr="000A0C3E" w:rsidRDefault="000A0C3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hAnsi="Times New Roman" w:cs="Times New Roman"/>
          <w:sz w:val="28"/>
          <w:szCs w:val="28"/>
          <w:lang w:eastAsia="ru-RU"/>
        </w:rPr>
        <w:t>- нарушения при осуществлении закупочной деятельности;</w:t>
      </w:r>
    </w:p>
    <w:p w:rsidR="000A0C3E" w:rsidRPr="000A0C3E" w:rsidRDefault="000A0C3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hAnsi="Times New Roman" w:cs="Times New Roman"/>
          <w:sz w:val="28"/>
          <w:szCs w:val="28"/>
          <w:lang w:eastAsia="ru-RU"/>
        </w:rPr>
        <w:t>- нарушения по оплате</w:t>
      </w:r>
      <w:r w:rsidR="00443B4E">
        <w:rPr>
          <w:rFonts w:ascii="Times New Roman" w:hAnsi="Times New Roman" w:cs="Times New Roman"/>
          <w:sz w:val="28"/>
          <w:szCs w:val="28"/>
          <w:lang w:eastAsia="ru-RU"/>
        </w:rPr>
        <w:t xml:space="preserve"> труда и стимулирующих выплатах.</w:t>
      </w:r>
    </w:p>
    <w:p w:rsidR="000A0C3E" w:rsidRPr="000A0C3E" w:rsidRDefault="00443B4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О</w:t>
      </w:r>
      <w:r w:rsidR="000A0C3E" w:rsidRPr="000A0C3E">
        <w:rPr>
          <w:rFonts w:ascii="Times New Roman" w:hAnsi="Times New Roman" w:cs="Times New Roman"/>
          <w:sz w:val="28"/>
          <w:szCs w:val="28"/>
          <w:lang w:eastAsia="ru-RU"/>
        </w:rPr>
        <w:t>тдельные положения локальных актов Общества об оплате труда, содержат условия оплаты труда работников, не дающие четкого понятия о размере той или иной составляющей ее части, а также имеющие предпосылки к дискриминационному подходу к работникам Общества, что привело:</w:t>
      </w:r>
    </w:p>
    <w:p w:rsidR="000A0C3E" w:rsidRPr="000A0C3E" w:rsidRDefault="00443B4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A0C3E" w:rsidRPr="000A0C3E">
        <w:rPr>
          <w:rFonts w:ascii="Times New Roman" w:hAnsi="Times New Roman" w:cs="Times New Roman"/>
          <w:sz w:val="28"/>
          <w:szCs w:val="28"/>
          <w:lang w:eastAsia="ru-RU"/>
        </w:rPr>
        <w:t>в отсутствии соблюдения условий положения о премировании в части выполнения работниками производственного плана Общества;</w:t>
      </w:r>
    </w:p>
    <w:p w:rsidR="000A0C3E" w:rsidRPr="000A0C3E" w:rsidRDefault="00443B4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A0C3E" w:rsidRPr="000A0C3E">
        <w:rPr>
          <w:rFonts w:ascii="Times New Roman" w:hAnsi="Times New Roman" w:cs="Times New Roman"/>
          <w:sz w:val="28"/>
          <w:szCs w:val="28"/>
          <w:lang w:eastAsia="ru-RU"/>
        </w:rPr>
        <w:t>в отсутствии подтверждающих фактов экономии по фонду оплаты труда при начислении соответствующих стимулирующих выплат;</w:t>
      </w:r>
    </w:p>
    <w:p w:rsidR="000A0C3E" w:rsidRPr="000A0C3E" w:rsidRDefault="00443B4E" w:rsidP="0033317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A0C3E" w:rsidRPr="000A0C3E">
        <w:rPr>
          <w:rFonts w:ascii="Times New Roman" w:hAnsi="Times New Roman" w:cs="Times New Roman"/>
          <w:sz w:val="28"/>
          <w:szCs w:val="28"/>
          <w:lang w:eastAsia="ru-RU"/>
        </w:rPr>
        <w:t>в начислении ежемесячной доплаты стимулирующего характера в противоречии с условиями положения о премировании, что повлекло неправомерное начисление оплаты труда в сумме 37445,39 рублей (замечание носит массовый характер) и другие нарушения.</w:t>
      </w:r>
    </w:p>
    <w:p w:rsidR="000A0C3E" w:rsidRPr="000A0C3E" w:rsidRDefault="000A0C3E" w:rsidP="000A0C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C3E" w:rsidRPr="000A0C3E" w:rsidRDefault="000A0C3E" w:rsidP="000A0C3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Всего выявлено нарушений  на сумму 736,45 тыс. рублей, </w:t>
      </w: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 числе:  </w:t>
      </w:r>
    </w:p>
    <w:p w:rsidR="000A0C3E" w:rsidRPr="000A0C3E" w:rsidRDefault="000A0C3E" w:rsidP="000A0C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неправомерные расходы                                                      96,92 тыс. рублей;</w:t>
      </w:r>
    </w:p>
    <w:p w:rsidR="000A0C3E" w:rsidRPr="000A0C3E" w:rsidRDefault="000A0C3E" w:rsidP="000A0C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недоначисление заработной платы </w:t>
      </w:r>
    </w:p>
    <w:p w:rsidR="000A0C3E" w:rsidRPr="000A0C3E" w:rsidRDefault="000A0C3E" w:rsidP="000A0C3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прочих выплат                                                                201,19 тыс. рублей;</w:t>
      </w:r>
    </w:p>
    <w:p w:rsidR="000A0C3E" w:rsidRPr="000A0C3E" w:rsidRDefault="000A0C3E" w:rsidP="000A0C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A0C3E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прочие                                                                                438,34 тыс. рублей.</w:t>
      </w:r>
    </w:p>
    <w:p w:rsidR="000A0C3E" w:rsidRPr="000A0C3E" w:rsidRDefault="000A0C3E" w:rsidP="000A0C3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A0C3E" w:rsidRPr="000A0C3E" w:rsidRDefault="00443B4E" w:rsidP="000A0C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 xml:space="preserve">   </w:t>
      </w:r>
      <w:r w:rsidR="000A0C3E"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контрольного мероприятия направлены отчеты Председателю Думы города и  Главе города для рассмотрения и устранения выявленных фактов замечаний и нарушений.</w:t>
      </w:r>
    </w:p>
    <w:p w:rsidR="000A0C3E" w:rsidRPr="000A0C3E" w:rsidRDefault="000A0C3E" w:rsidP="000A0C3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C3E" w:rsidRPr="000A0C3E" w:rsidRDefault="000A0C3E" w:rsidP="000A0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A0C3E">
        <w:rPr>
          <w:rFonts w:ascii="Times New Roman" w:hAnsi="Times New Roman"/>
          <w:b/>
          <w:sz w:val="28"/>
          <w:szCs w:val="28"/>
        </w:rPr>
        <w:t xml:space="preserve">Краткая информация о результатах контрольного мероприятия  исполнения законодательства при расходовании средств в рамках реализации региональной и муниципальных программ занятости населения в  части </w:t>
      </w:r>
      <w:r w:rsidRPr="000A0C3E">
        <w:rPr>
          <w:rFonts w:ascii="Times New Roman" w:eastAsia="Calibri" w:hAnsi="Times New Roman" w:cs="Times New Roman"/>
          <w:b/>
          <w:sz w:val="28"/>
          <w:szCs w:val="28"/>
        </w:rPr>
        <w:t>«Организация временного трудоустройства несовершеннолетних граждан в возрасте от 14 до 18 лет в свободное от учебы время».</w:t>
      </w:r>
    </w:p>
    <w:p w:rsidR="000A0C3E" w:rsidRPr="000A0C3E" w:rsidRDefault="000A0C3E" w:rsidP="000A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следующие нарушения:</w:t>
      </w:r>
    </w:p>
    <w:p w:rsidR="000A0C3E" w:rsidRPr="000A0C3E" w:rsidRDefault="000A0C3E" w:rsidP="000A0C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3E">
        <w:rPr>
          <w:rFonts w:ascii="Times New Roman" w:eastAsia="Calibri" w:hAnsi="Times New Roman" w:cs="Times New Roman"/>
          <w:sz w:val="28"/>
          <w:szCs w:val="28"/>
        </w:rPr>
        <w:t>- в нарушение требования части 4.1 статьи 20 Федерального закона № 131 представительным органом города Нижневартовска не принят муниципальный правовой акт о реализации права на участие в осуществлении полномочий по организации и финансированию временного трудоустройства несовершеннолетних в возрасте от 14 до 18 лет в свободное от учебы время;</w:t>
      </w:r>
    </w:p>
    <w:p w:rsidR="000A0C3E" w:rsidRPr="000A0C3E" w:rsidRDefault="000A0C3E" w:rsidP="000A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Администрацией города (Управлением по С и МП) субсидии на выполнение муниципального задание МАУ «Молодежный центр», в противоречии требованиям бюджетного законодательства (пункта 5 статьи 242 БК РФ);</w:t>
      </w:r>
    </w:p>
    <w:p w:rsidR="000A0C3E" w:rsidRPr="000A0C3E" w:rsidRDefault="000A0C3E" w:rsidP="000A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муниципальной работы согласно муниципальному заданию осуществлялось в противоречие статьи 69.2 БК РФ, то есть не самим МАУ «Молодежный центр», а путем заключения договоров с другими учреждениями, организациями;</w:t>
      </w:r>
    </w:p>
    <w:p w:rsidR="000A0C3E" w:rsidRPr="000A0C3E" w:rsidRDefault="000A0C3E" w:rsidP="000A0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расходование средств в МАУДО «ЦДТ» осуществлялось с нарушением трудового законодательства, при отсутствии в трудовом договоре выплаты частичной компенсации по оплате  труда, что привело к неправомерным выплатам несовершеннолетним гражданам в сумме 103,23 тыс. рублей. </w:t>
      </w:r>
    </w:p>
    <w:p w:rsidR="000A0C3E" w:rsidRPr="000A0C3E" w:rsidRDefault="000A0C3E" w:rsidP="000A0C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C3E">
        <w:rPr>
          <w:rFonts w:ascii="Times New Roman" w:eastAsia="Calibri" w:hAnsi="Times New Roman" w:cs="Times New Roman"/>
          <w:sz w:val="28"/>
          <w:szCs w:val="28"/>
        </w:rPr>
        <w:t>А также установлены  нарушения требований Закона №44-ФЗ</w:t>
      </w:r>
      <w:r w:rsidRPr="000A0C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сфере закупок</w:t>
      </w:r>
      <w:r w:rsidRPr="000A0C3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0C3E" w:rsidRDefault="004B2E6F" w:rsidP="004B2E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контрольного мероприятия направлены отчеты Председателю Думы города и  Главе города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4B2E6F" w:rsidRPr="000A0C3E" w:rsidRDefault="004B2E6F" w:rsidP="004B2E6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A47E9" w:rsidRPr="000A0C3E" w:rsidRDefault="008A47E9" w:rsidP="004B2E6F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Проверка </w:t>
      </w:r>
      <w:r w:rsidRPr="000A0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целевого и эффективного использования средств бюджета города, выделенных на ремонт освободившихся жилых помещений муниципального жилищного фонда в 2014-2016 годах на объектах </w:t>
      </w: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департамент  жилищно-коммунального хозяйства администрации города и </w:t>
      </w:r>
      <w:r w:rsidRPr="000A0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управление по жилищной политике администрации города </w:t>
      </w:r>
    </w:p>
    <w:p w:rsidR="008A47E9" w:rsidRDefault="008A47E9" w:rsidP="008A47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</w:pPr>
    </w:p>
    <w:p w:rsidR="008A47E9" w:rsidRPr="008A47E9" w:rsidRDefault="008A47E9" w:rsidP="008A47E9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A47E9">
        <w:rPr>
          <w:rFonts w:ascii="Times New Roman" w:eastAsia="Calibri" w:hAnsi="Times New Roman" w:cs="Times New Roman"/>
          <w:color w:val="000000"/>
          <w:sz w:val="28"/>
          <w:szCs w:val="28"/>
        </w:rPr>
        <w:t>В ходе контрольного мероприятия устано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 w:rsidRPr="008A47E9">
        <w:rPr>
          <w:rFonts w:ascii="Times New Roman" w:eastAsia="Calibri" w:hAnsi="Times New Roman" w:cs="Times New Roman"/>
          <w:color w:val="000000"/>
          <w:sz w:val="28"/>
          <w:szCs w:val="28"/>
        </w:rPr>
        <w:t>лено следующее:</w:t>
      </w:r>
    </w:p>
    <w:p w:rsidR="00056502" w:rsidRPr="00056502" w:rsidRDefault="008A47E9" w:rsidP="008A1691">
      <w:pPr>
        <w:pStyle w:val="a8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 по ремонту жилых помещений муниципального жилищного фонда в рамках реализации программных мероприятий ведомственной целевой программы «Капитальный ремонт жилищного фонда в муниципальном образовании город Нижневартовск»</w:t>
      </w:r>
      <w:r w:rsidRPr="000565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01.10.2015 по </w:t>
      </w:r>
      <w:r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31.12.2015 в данном периоде Департаментом ЖКХ осуществлялась неправомерно, за рамками установленных полномочий</w:t>
      </w:r>
      <w:r w:rsid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6502" w:rsidRPr="00056502">
        <w:t xml:space="preserve"> </w:t>
      </w:r>
      <w:r w:rsidR="00056502"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неправомерны</w:t>
      </w:r>
      <w:r w:rsid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6502"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</w:t>
      </w:r>
      <w:r w:rsid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056502"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</w:t>
      </w:r>
      <w:r w:rsidR="00056502"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1 075, 55 тыс. рублей;</w:t>
      </w:r>
    </w:p>
    <w:p w:rsidR="008A47E9" w:rsidRDefault="00056502" w:rsidP="008A1691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не</w:t>
      </w:r>
      <w:r w:rsidR="008A47E9" w:rsidRPr="008A47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результативн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ые</w:t>
      </w:r>
      <w:r w:rsidR="008A47E9" w:rsidRPr="008A47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расход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</w:t>
      </w:r>
      <w:r w:rsidR="008A47E9" w:rsidRPr="008A47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использования средств бюджета города, </w:t>
      </w:r>
      <w:r w:rsidR="008A47E9" w:rsidRPr="008A47E9">
        <w:rPr>
          <w:rFonts w:ascii="Times New Roman" w:hAnsi="Times New Roman" w:cs="Times New Roman"/>
          <w:sz w:val="28"/>
          <w:szCs w:val="28"/>
        </w:rPr>
        <w:t xml:space="preserve">на общую </w:t>
      </w:r>
      <w:r w:rsidR="008A47E9" w:rsidRPr="00056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="008A47E9" w:rsidRPr="000565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1 078, 71</w:t>
      </w:r>
      <w:r w:rsidR="008A47E9" w:rsidRPr="00056502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тыс. рублей</w:t>
      </w:r>
      <w:r w:rsidR="008A47E9" w:rsidRPr="008A47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,</w:t>
      </w:r>
      <w:r w:rsidR="008A47E9" w:rsidRPr="008A47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A47E9" w:rsidRPr="008A4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 рамках заключенного </w:t>
      </w:r>
      <w:r w:rsidR="0075603E" w:rsidRPr="0075603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контракта</w:t>
      </w:r>
      <w:r w:rsidR="008A47E9" w:rsidRPr="0075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ЖКХ</w:t>
      </w:r>
      <w:r w:rsidR="008A47E9" w:rsidRPr="008A47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8A47E9" w:rsidRPr="008A47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осуществил производство работ </w:t>
      </w:r>
      <w:r w:rsidR="008A47E9" w:rsidRPr="008A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ремонту жилых помещений муниципальн</w:t>
      </w:r>
      <w:r w:rsidR="0075603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жилищного фонда,</w:t>
      </w:r>
      <w:r w:rsidR="008A47E9" w:rsidRPr="008A47E9">
        <w:rPr>
          <w:rFonts w:ascii="Times New Roman" w:hAnsi="Times New Roman" w:cs="Times New Roman"/>
          <w:sz w:val="28"/>
          <w:szCs w:val="28"/>
        </w:rPr>
        <w:t xml:space="preserve"> пострадавших в результате пожара локального характера</w:t>
      </w:r>
      <w:r w:rsidR="00756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, которые через 3 месяца после </w:t>
      </w:r>
      <w:r w:rsidR="0075603E" w:rsidRPr="008A47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окончания </w:t>
      </w:r>
      <w:r w:rsidR="0075603E" w:rsidRPr="008A47E9">
        <w:rPr>
          <w:rFonts w:ascii="Times New Roman" w:eastAsia="Calibri" w:hAnsi="Times New Roman" w:cs="Times New Roman"/>
          <w:sz w:val="28"/>
          <w:szCs w:val="28"/>
          <w:lang w:eastAsia="ru-RU"/>
        </w:rPr>
        <w:t>ремонтных работ</w:t>
      </w:r>
      <w:r w:rsidR="007560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были </w:t>
      </w:r>
      <w:r w:rsidR="0075603E" w:rsidRPr="00756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признан</w:t>
      </w:r>
      <w:r w:rsidR="00756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ы</w:t>
      </w:r>
      <w:r w:rsidR="0075603E" w:rsidRPr="00756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непригодным</w:t>
      </w:r>
      <w:r w:rsidR="00756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и</w:t>
      </w:r>
      <w:r w:rsidR="0075603E" w:rsidRPr="008A47E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для проживания</w:t>
      </w:r>
      <w:r w:rsidR="007560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;</w:t>
      </w:r>
    </w:p>
    <w:p w:rsidR="008A47E9" w:rsidRPr="0075603E" w:rsidRDefault="0075603E" w:rsidP="008A169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Pr="0075603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5603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факт, когда подрядчиком нарушен срок исполнения обязательства, при этом претензионная работа Департаментом ЖКХ</w:t>
      </w:r>
      <w:r w:rsidRPr="007560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560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была осуществлена.</w:t>
      </w:r>
      <w:r w:rsidR="008A47E9" w:rsidRPr="00756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603E" w:rsidRDefault="0075603E" w:rsidP="008A4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A47E9" w:rsidRPr="00CF56B9" w:rsidRDefault="008A47E9" w:rsidP="008A47E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выявлено нарушений 2 162, 79 тыс. рублей, в том  числе:  </w:t>
      </w:r>
    </w:p>
    <w:p w:rsidR="008A47E9" w:rsidRPr="00CF56B9" w:rsidRDefault="008A47E9" w:rsidP="008A47E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неправомерные расходы                                                    </w:t>
      </w:r>
      <w:r w:rsidRPr="00CF56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1 075, 55</w:t>
      </w:r>
      <w:r w:rsidRPr="00CF56B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8A47E9" w:rsidRPr="00CF56B9" w:rsidRDefault="008A47E9" w:rsidP="0075603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прочие                                                                                  1 087,24  тыс. рублей</w:t>
      </w:r>
    </w:p>
    <w:p w:rsidR="006A62BE" w:rsidRDefault="006A62BE" w:rsidP="004B2E6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E6F" w:rsidRDefault="004B2E6F" w:rsidP="004B2E6F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контрольного мероприятия направлены отчеты Председателю Думы города и  Главе города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4B2E6F" w:rsidRDefault="004B2E6F" w:rsidP="004B2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2BE" w:rsidRPr="000A0C3E" w:rsidRDefault="006A62BE" w:rsidP="004B2E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эффективности использования бюджетных средств на реализацию муниципальной программы «Молодежь Нижневартовска на 2015-2020 годы</w:t>
      </w:r>
    </w:p>
    <w:p w:rsidR="004B2E6F" w:rsidRPr="004B2E6F" w:rsidRDefault="004B2E6F" w:rsidP="004B2E6F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Основными</w:t>
      </w:r>
      <w:r w:rsidRPr="004B2E6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4B2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задачами</w:t>
      </w:r>
      <w:r w:rsidRPr="004B2E6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4B2E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программы являются:</w:t>
      </w:r>
    </w:p>
    <w:p w:rsidR="004B2E6F" w:rsidRPr="004B2E6F" w:rsidRDefault="004B2E6F" w:rsidP="008A1691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6F">
        <w:rPr>
          <w:rFonts w:ascii="Times New Roman" w:eastAsia="Calibri" w:hAnsi="Times New Roman" w:cs="Times New Roman"/>
          <w:sz w:val="28"/>
          <w:szCs w:val="28"/>
        </w:rPr>
        <w:t>создание условий для реализации молодежной политики;</w:t>
      </w:r>
    </w:p>
    <w:p w:rsidR="004B2E6F" w:rsidRPr="004B2E6F" w:rsidRDefault="004B2E6F" w:rsidP="008A1691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6F">
        <w:rPr>
          <w:rFonts w:ascii="Times New Roman" w:eastAsia="Calibri" w:hAnsi="Times New Roman" w:cs="Times New Roman"/>
          <w:sz w:val="28"/>
          <w:szCs w:val="28"/>
        </w:rPr>
        <w:t>создание условий для организации отдыха и оздоровления детей;</w:t>
      </w:r>
    </w:p>
    <w:p w:rsidR="004B2E6F" w:rsidRPr="004B2E6F" w:rsidRDefault="004B2E6F" w:rsidP="008A1691">
      <w:pPr>
        <w:numPr>
          <w:ilvl w:val="0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B2E6F">
        <w:rPr>
          <w:rFonts w:ascii="Times New Roman" w:eastAsia="Calibri" w:hAnsi="Times New Roman" w:cs="Times New Roman"/>
          <w:sz w:val="28"/>
          <w:szCs w:val="28"/>
        </w:rPr>
        <w:t>создание условий в сфере занятости молодежи.</w:t>
      </w:r>
    </w:p>
    <w:p w:rsidR="004B2E6F" w:rsidRPr="004B2E6F" w:rsidRDefault="004B2E6F" w:rsidP="004B2E6F">
      <w:pPr>
        <w:tabs>
          <w:tab w:val="left" w:pos="525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реализовывалась за счет средств различных источников, а именно федерального бюджета, бюджета автономного округа, бюджета города</w:t>
      </w:r>
      <w:r w:rsidRPr="004B2E6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сроком реализации на период с 2015 по 2020 годы с общим объемом финансирования, после внесенных уточнений – 831 656,67 тыс. рублей, в том числе:</w:t>
      </w:r>
    </w:p>
    <w:p w:rsidR="004B2E6F" w:rsidRPr="004B2E6F" w:rsidRDefault="004B2E6F" w:rsidP="008A169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федерального бюджета – 363,45 тыс. рублей, из них: </w:t>
      </w:r>
    </w:p>
    <w:p w:rsidR="004B2E6F" w:rsidRPr="004B2E6F" w:rsidRDefault="004B2E6F" w:rsidP="008A1691">
      <w:pPr>
        <w:numPr>
          <w:ilvl w:val="0"/>
          <w:numId w:val="19"/>
        </w:numPr>
        <w:tabs>
          <w:tab w:val="left" w:pos="1134"/>
        </w:tabs>
        <w:spacing w:after="0" w:line="240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- 363,45 тыс. рублей;</w:t>
      </w:r>
    </w:p>
    <w:p w:rsidR="004B2E6F" w:rsidRPr="004B2E6F" w:rsidRDefault="004B2E6F" w:rsidP="008A1691">
      <w:pPr>
        <w:numPr>
          <w:ilvl w:val="0"/>
          <w:numId w:val="18"/>
        </w:numPr>
        <w:tabs>
          <w:tab w:val="left" w:pos="851"/>
        </w:tabs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 автономного округа – 383 436,68 тыс. рублей, из них:</w:t>
      </w:r>
    </w:p>
    <w:p w:rsidR="004B2E6F" w:rsidRPr="004B2E6F" w:rsidRDefault="004B2E6F" w:rsidP="008A1691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1560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63 294,93 тыс. рублей;</w:t>
      </w:r>
    </w:p>
    <w:p w:rsidR="004B2E6F" w:rsidRPr="004B2E6F" w:rsidRDefault="004B2E6F" w:rsidP="008A1691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1560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80 156,45 тыс. рублей;</w:t>
      </w:r>
    </w:p>
    <w:p w:rsidR="004B2E6F" w:rsidRPr="004B2E6F" w:rsidRDefault="004B2E6F" w:rsidP="008A1691">
      <w:pPr>
        <w:numPr>
          <w:ilvl w:val="0"/>
          <w:numId w:val="21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бюджета города – 447 856,54 тыс. рублей, из них:</w:t>
      </w:r>
    </w:p>
    <w:p w:rsidR="004B2E6F" w:rsidRPr="004B2E6F" w:rsidRDefault="004B2E6F" w:rsidP="008A1691">
      <w:pPr>
        <w:numPr>
          <w:ilvl w:val="0"/>
          <w:numId w:val="2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 – 61 117,17 тыс. рублей;</w:t>
      </w:r>
    </w:p>
    <w:p w:rsidR="004B2E6F" w:rsidRPr="004B2E6F" w:rsidRDefault="004B2E6F" w:rsidP="008A1691">
      <w:pPr>
        <w:numPr>
          <w:ilvl w:val="0"/>
          <w:numId w:val="22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E6F">
        <w:rPr>
          <w:rFonts w:ascii="Times New Roman" w:eastAsia="Times New Roman" w:hAnsi="Times New Roman" w:cs="Times New Roman"/>
          <w:sz w:val="28"/>
          <w:szCs w:val="28"/>
          <w:lang w:eastAsia="ru-RU"/>
        </w:rPr>
        <w:t>2016 год – 98 163,67 тыс. рублей.</w:t>
      </w:r>
    </w:p>
    <w:p w:rsidR="006A62BE" w:rsidRDefault="006A62BE" w:rsidP="006A62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результатам контрольного мероприятия установлено следующее:</w:t>
      </w:r>
    </w:p>
    <w:p w:rsidR="006A62BE" w:rsidRDefault="006A62BE" w:rsidP="008A1691">
      <w:pPr>
        <w:pStyle w:val="a8"/>
        <w:numPr>
          <w:ilvl w:val="0"/>
          <w:numId w:val="8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установлены</w:t>
      </w:r>
      <w:r w:rsidRPr="006A62BE">
        <w:rPr>
          <w:rFonts w:ascii="Times New Roman" w:hAnsi="Times New Roman" w:cs="Times New Roman"/>
          <w:sz w:val="28"/>
          <w:szCs w:val="28"/>
        </w:rPr>
        <w:t xml:space="preserve"> 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</w:t>
      </w:r>
      <w:r w:rsidRPr="006A62BE">
        <w:rPr>
          <w:rFonts w:ascii="Times New Roman" w:hAnsi="Times New Roman" w:cs="Times New Roman"/>
          <w:sz w:val="28"/>
          <w:szCs w:val="28"/>
        </w:rPr>
        <w:t xml:space="preserve"> в части 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мероприятий муниципальной программы полномочиям их ответственных исполнителей и соисполнителей</w:t>
      </w:r>
      <w:r w:rsid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62BE" w:rsidRDefault="006A62BE" w:rsidP="008A1691">
      <w:pPr>
        <w:pStyle w:val="a8"/>
        <w:numPr>
          <w:ilvl w:val="0"/>
          <w:numId w:val="8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ряд нарушений требований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законодательства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программу;</w:t>
      </w:r>
    </w:p>
    <w:p w:rsidR="006A62BE" w:rsidRPr="006A62BE" w:rsidRDefault="00CF56B9" w:rsidP="008A1691">
      <w:pPr>
        <w:pStyle w:val="a8"/>
        <w:numPr>
          <w:ilvl w:val="0"/>
          <w:numId w:val="8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ряд замечаний и нарушений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="006A62BE" w:rsidRPr="006A6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нормативного регулирования организации отдыха и оздоровления детей 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62BE" w:rsidRDefault="00CF56B9" w:rsidP="008A1691">
      <w:pPr>
        <w:pStyle w:val="a8"/>
        <w:numPr>
          <w:ilvl w:val="0"/>
          <w:numId w:val="8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факты недолжного исполнения управлением по социальной и молодежной политике закрепленных полномочий учредителя при реализации программных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56B9" w:rsidRPr="00CF56B9" w:rsidRDefault="00CF56B9" w:rsidP="008A1691">
      <w:pPr>
        <w:pStyle w:val="a8"/>
        <w:numPr>
          <w:ilvl w:val="0"/>
          <w:numId w:val="8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ряд нарушений законодательства при </w:t>
      </w:r>
      <w:r w:rsidR="006A62BE"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A62BE"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A62BE"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бюджетных ассигнований, предусмотренных на реализацию отдельных мероприятий Муниципальной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проверяемый период.</w:t>
      </w:r>
    </w:p>
    <w:p w:rsidR="004B2E6F" w:rsidRDefault="004B2E6F" w:rsidP="00CF56B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BE" w:rsidRPr="00CF56B9" w:rsidRDefault="006A62BE" w:rsidP="00CF56B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выявлено нарушений  на сумму 10 523,69 тыс. рублей, в том числе:  </w:t>
      </w:r>
    </w:p>
    <w:p w:rsidR="006A62BE" w:rsidRPr="00CF56B9" w:rsidRDefault="006A62BE" w:rsidP="00CF56B9">
      <w:pPr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неправомерные расходы                                                     9,35  тыс. рублей;</w:t>
      </w:r>
    </w:p>
    <w:p w:rsidR="006A62BE" w:rsidRPr="00CF56B9" w:rsidRDefault="006A62BE" w:rsidP="00CF56B9">
      <w:pPr>
        <w:tabs>
          <w:tab w:val="left" w:pos="0"/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56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                                                                               10 514,34 тыс. рублей.</w:t>
      </w:r>
    </w:p>
    <w:p w:rsidR="006A62BE" w:rsidRDefault="004B2E6F" w:rsidP="00CF56B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го мероприятия направлены отчет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Председателю Думы города и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представление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Главе города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4B2E6F" w:rsidRPr="00CF56B9" w:rsidRDefault="004B2E6F" w:rsidP="00CF56B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6B9" w:rsidRPr="000A0C3E" w:rsidRDefault="00CF56B9" w:rsidP="004B2E6F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исчисления доходов, полученных в виде дивидендов за 2016 год по находящимся в муниципальной собственности акциям ОАО </w:t>
      </w:r>
      <w:r w:rsidRPr="000A0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«Комбинат питания социальных учреждений» (по отдельным вопросам)</w:t>
      </w: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Анализ </w:t>
      </w:r>
      <w:r w:rsidRPr="000A0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эффективности управления пакетом акций</w:t>
      </w: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ОАО </w:t>
      </w:r>
      <w:r w:rsidRPr="000A0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«Комбинат питания социальных учреждений», находящимся в муниципальной собственности, за период 2015-2016 годов</w:t>
      </w:r>
    </w:p>
    <w:p w:rsidR="00D413CF" w:rsidRPr="00E01667" w:rsidRDefault="00D413CF" w:rsidP="00B358E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667">
        <w:rPr>
          <w:rFonts w:ascii="Times New Roman" w:eastAsia="Calibri" w:hAnsi="Times New Roman" w:cs="Times New Roman"/>
          <w:sz w:val="28"/>
          <w:szCs w:val="28"/>
        </w:rPr>
        <w:t>Целью создания Общества согласно Уставу является извлечение прибыли и удовлетворения потребностей юридических и физических лиц в работах и услугах, оказываемых Обществом.</w:t>
      </w:r>
    </w:p>
    <w:p w:rsidR="00B358E2" w:rsidRDefault="00D413CF" w:rsidP="00B358E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1667">
        <w:rPr>
          <w:rFonts w:ascii="Times New Roman" w:eastAsia="Calibri" w:hAnsi="Times New Roman" w:cs="Times New Roman"/>
          <w:sz w:val="28"/>
          <w:szCs w:val="28"/>
        </w:rPr>
        <w:t>Основной целью управления пакетом акций является удовлетворение общественных потребностей, направленных на организацию сбалансированного (по белкам, жирам и углеводам) рационального, а также дешевого питания детей муниципальных образовательных и дошкольных учреждений города и иных учреждений социальной сферы, и пополнение неналоговых доходов в бюджете города посредством перечисления дивидендов от прибыли по результатам деятельности Общества.</w:t>
      </w:r>
    </w:p>
    <w:p w:rsidR="00B358E2" w:rsidRDefault="00D413CF" w:rsidP="00B358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667">
        <w:rPr>
          <w:rFonts w:ascii="Times New Roman" w:hAnsi="Times New Roman" w:cs="Times New Roman"/>
          <w:sz w:val="28"/>
          <w:szCs w:val="28"/>
        </w:rPr>
        <w:t>Единственный акционер Общества - Муниципальное образования города Нижневартовска.</w:t>
      </w:r>
    </w:p>
    <w:p w:rsidR="00D413CF" w:rsidRPr="00E01667" w:rsidRDefault="00D413CF" w:rsidP="00B358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667">
        <w:rPr>
          <w:rFonts w:ascii="Times New Roman" w:hAnsi="Times New Roman" w:cs="Times New Roman"/>
          <w:sz w:val="28"/>
          <w:szCs w:val="28"/>
        </w:rPr>
        <w:lastRenderedPageBreak/>
        <w:t xml:space="preserve"> В проверяемом периоде Советом директоров Общества  принимались управленческие решения, призванные обеспечить эффективность и результативность деятельности Общества.</w:t>
      </w:r>
    </w:p>
    <w:p w:rsidR="00D413CF" w:rsidRPr="00E01667" w:rsidRDefault="00D413CF" w:rsidP="00B358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667">
        <w:rPr>
          <w:rFonts w:ascii="Times New Roman" w:hAnsi="Times New Roman" w:cs="Times New Roman"/>
          <w:sz w:val="28"/>
          <w:szCs w:val="28"/>
        </w:rPr>
        <w:t>Руководитель Общества в условиях высокой конкуренции, используя механизмы рыночного регулирования цен на предоставляемые услуги, обеспечил получение Обществом определенного уровня прибыли по итогам отчетных периодов 2015-2016 годов.</w:t>
      </w:r>
    </w:p>
    <w:p w:rsidR="00D413CF" w:rsidRPr="00E01667" w:rsidRDefault="00D413CF" w:rsidP="00B358E2">
      <w:pPr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01667">
        <w:rPr>
          <w:rFonts w:ascii="Times New Roman" w:hAnsi="Times New Roman" w:cs="Times New Roman"/>
          <w:sz w:val="28"/>
          <w:szCs w:val="28"/>
        </w:rPr>
        <w:t xml:space="preserve"> И соответственно увеличилось поступление дивидендов за 2016 год (340,24 тыс. рублей) по сравнению с перечислениями 2015 года (102,06 тыс. рублей) более чем в три раза</w:t>
      </w:r>
      <w:r w:rsidRPr="00E01667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D413CF" w:rsidRPr="00E01667" w:rsidRDefault="00D413CF" w:rsidP="00B358E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16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01667">
        <w:rPr>
          <w:rFonts w:ascii="Times New Roman" w:hAnsi="Times New Roman" w:cs="Times New Roman"/>
          <w:sz w:val="28"/>
          <w:szCs w:val="28"/>
        </w:rPr>
        <w:t>Однако, несмотря на увеличение сумм выплат дивидендов за счет повышения доли прибыли, направляемой Обществом на выплату дивидендов на 10% (с 25% до 35%) начиная с 2015 года, наблюдается тенденция снижения объема чистой прибыли по сравнению с предыдущими отчетными периодами.</w:t>
      </w:r>
    </w:p>
    <w:p w:rsidR="00CF56B9" w:rsidRPr="00CF56B9" w:rsidRDefault="009F6103" w:rsidP="00B358E2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установлено нижеследующее:</w:t>
      </w:r>
    </w:p>
    <w:p w:rsidR="00CF56B9" w:rsidRPr="002651B4" w:rsidRDefault="00CF56B9" w:rsidP="008A1691">
      <w:pPr>
        <w:pStyle w:val="a8"/>
        <w:numPr>
          <w:ilvl w:val="0"/>
          <w:numId w:val="8"/>
        </w:numPr>
        <w:shd w:val="clear" w:color="auto" w:fill="FFFFFF"/>
        <w:tabs>
          <w:tab w:val="left" w:pos="0"/>
          <w:tab w:val="left" w:pos="851"/>
          <w:tab w:val="left" w:pos="993"/>
        </w:tabs>
        <w:spacing w:after="0" w:line="240" w:lineRule="auto"/>
        <w:ind w:left="0" w:right="-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</w:rPr>
        <w:t xml:space="preserve">выявлен факт несоблюдения </w:t>
      </w:r>
      <w:r w:rsidR="009F6103" w:rsidRPr="002651B4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 w:rsidRPr="002651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6103" w:rsidRPr="002651B4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651B4">
        <w:rPr>
          <w:rFonts w:ascii="Times New Roman" w:eastAsia="Times New Roman" w:hAnsi="Times New Roman" w:cs="Times New Roman"/>
          <w:sz w:val="28"/>
          <w:szCs w:val="28"/>
        </w:rPr>
        <w:t xml:space="preserve">оложения 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директоре </w:t>
      </w:r>
      <w:r w:rsidR="009F6103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</w:t>
      </w:r>
      <w:r w:rsidRPr="002651B4">
        <w:rPr>
          <w:rFonts w:ascii="Times New Roman" w:eastAsia="Times New Roman" w:hAnsi="Times New Roman" w:cs="Times New Roman"/>
          <w:sz w:val="28"/>
          <w:szCs w:val="28"/>
        </w:rPr>
        <w:t xml:space="preserve">, выразившийся в отсутствии принятого решения </w:t>
      </w:r>
      <w:r w:rsidR="009F6103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директоров о назначении нового директора или продления срока полномочий действующего директора по истечению срока полномочий директора </w:t>
      </w:r>
      <w:r w:rsidR="009F6103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общества;</w:t>
      </w:r>
    </w:p>
    <w:p w:rsidR="00CF56B9" w:rsidRPr="002651B4" w:rsidRDefault="009F6103" w:rsidP="008A1691">
      <w:pPr>
        <w:pStyle w:val="a8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5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отсутствует внутренний </w:t>
      </w:r>
      <w:r w:rsidR="00CF56B9" w:rsidRPr="00265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документ, регламентирующий порядок проведения отбора аудиторских организаций для проведения обязательного аудита бухгалтерской (финансовой) отчетности </w:t>
      </w:r>
      <w:r w:rsidRPr="002651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общества, а также </w:t>
      </w:r>
      <w:r w:rsidR="00CF56B9" w:rsidRPr="002651B4">
        <w:rPr>
          <w:rFonts w:ascii="Times New Roman" w:hAnsi="Times New Roman" w:cs="Times New Roman"/>
          <w:sz w:val="28"/>
          <w:szCs w:val="28"/>
        </w:rPr>
        <w:t>отсутств</w:t>
      </w:r>
      <w:r w:rsidRPr="002651B4">
        <w:rPr>
          <w:rFonts w:ascii="Times New Roman" w:hAnsi="Times New Roman" w:cs="Times New Roman"/>
          <w:sz w:val="28"/>
          <w:szCs w:val="28"/>
        </w:rPr>
        <w:t>ует</w:t>
      </w:r>
      <w:r w:rsidR="00CF56B9" w:rsidRPr="002651B4">
        <w:rPr>
          <w:rFonts w:ascii="Times New Roman" w:hAnsi="Times New Roman" w:cs="Times New Roman"/>
          <w:sz w:val="28"/>
          <w:szCs w:val="28"/>
        </w:rPr>
        <w:t xml:space="preserve"> </w:t>
      </w:r>
      <w:r w:rsidRPr="002651B4">
        <w:rPr>
          <w:rFonts w:ascii="Times New Roman" w:hAnsi="Times New Roman" w:cs="Times New Roman"/>
          <w:sz w:val="28"/>
          <w:szCs w:val="28"/>
        </w:rPr>
        <w:t>п</w:t>
      </w:r>
      <w:r w:rsidR="00CF56B9" w:rsidRPr="002651B4">
        <w:rPr>
          <w:rFonts w:ascii="Times New Roman" w:hAnsi="Times New Roman" w:cs="Times New Roman"/>
          <w:sz w:val="28"/>
          <w:szCs w:val="28"/>
        </w:rPr>
        <w:t>оложени</w:t>
      </w:r>
      <w:r w:rsidRPr="002651B4">
        <w:rPr>
          <w:rFonts w:ascii="Times New Roman" w:hAnsi="Times New Roman" w:cs="Times New Roman"/>
          <w:sz w:val="28"/>
          <w:szCs w:val="28"/>
        </w:rPr>
        <w:t>е</w:t>
      </w:r>
      <w:r w:rsidR="00CF56B9" w:rsidRPr="002651B4">
        <w:rPr>
          <w:rFonts w:ascii="Times New Roman" w:hAnsi="Times New Roman" w:cs="Times New Roman"/>
          <w:sz w:val="28"/>
          <w:szCs w:val="28"/>
        </w:rPr>
        <w:t xml:space="preserve"> о ревизоре, </w:t>
      </w:r>
    </w:p>
    <w:p w:rsidR="00CF56B9" w:rsidRPr="002651B4" w:rsidRDefault="009F6103" w:rsidP="008A1691">
      <w:pPr>
        <w:pStyle w:val="a8"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выявлены признаки использования имущества Общества сторонними лицами при отсутствии правоустанавливающих документов, а также сам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льная перепланировка помещений, а также ограничен доступ в некоторые помещения;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F6103" w:rsidRPr="002651B4" w:rsidRDefault="009F6103" w:rsidP="008A1691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нарушения в части 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учета 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арендованных и переданных в аренду объектов основных средств </w:t>
      </w:r>
    </w:p>
    <w:p w:rsidR="00CF56B9" w:rsidRPr="002651B4" w:rsidRDefault="009F6103" w:rsidP="008A1691">
      <w:pPr>
        <w:pStyle w:val="a8"/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нарушения и замечания </w:t>
      </w:r>
      <w:r w:rsidRPr="002651B4">
        <w:rPr>
          <w:rFonts w:ascii="Times New Roman" w:eastAsia="Calibri" w:hAnsi="Times New Roman" w:cs="Times New Roman"/>
          <w:sz w:val="28"/>
          <w:szCs w:val="28"/>
          <w:lang w:eastAsia="ru-RU"/>
        </w:rPr>
        <w:t>при</w:t>
      </w:r>
      <w:r w:rsidR="00CF56B9" w:rsidRPr="002651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осуществлени</w:t>
      </w:r>
      <w:r w:rsidRPr="002651B4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CF56B9" w:rsidRPr="002651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651B4">
        <w:rPr>
          <w:rFonts w:ascii="Times New Roman" w:eastAsia="Calibri" w:hAnsi="Times New Roman" w:cs="Times New Roman"/>
          <w:sz w:val="28"/>
          <w:szCs w:val="28"/>
          <w:lang w:eastAsia="ru-RU"/>
        </w:rPr>
        <w:t>обществом закупочной деятельности;</w:t>
      </w:r>
    </w:p>
    <w:p w:rsidR="00CF56B9" w:rsidRPr="002651B4" w:rsidRDefault="00753CCB" w:rsidP="008A1691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допускалось осуществление выплаты годовых дивидендов при отсутствии решения 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бщего собрания акционеров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F56B9" w:rsidRPr="002651B4" w:rsidRDefault="00753CCB" w:rsidP="008A1691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бществом видов деятельности не включенных в исчерпывающий перечень видов деятельности, предусмотренный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уставом, о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существление 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указанных видов деятельности на общую сумму 13 477 372,88 рублей (за минусом НДС), 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ым;</w:t>
      </w:r>
    </w:p>
    <w:p w:rsidR="00CF56B9" w:rsidRPr="002651B4" w:rsidRDefault="00753CCB" w:rsidP="008A1691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ия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 учета и отражения в б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ухгалтерской отчетности доходов;</w:t>
      </w:r>
    </w:p>
    <w:p w:rsidR="00753CCB" w:rsidRPr="002651B4" w:rsidRDefault="00753CCB" w:rsidP="008A1691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указаны существенные условия 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договорах купли-продажи малоценного и б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ыстроизнашивающегося инвентаря;</w:t>
      </w:r>
    </w:p>
    <w:p w:rsidR="00CF56B9" w:rsidRPr="002651B4" w:rsidRDefault="00CF56B9" w:rsidP="008A1691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был выявлен ряд нарушений, когда в нарушение требований Налогового кодекса Российской Федерации допущены неправомерные расходы и пр</w:t>
      </w:r>
      <w:r w:rsidR="00753CCB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иняты для целей налогообложения 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общую сумму 235 485,13 рублей за выполненные работы по проведению косметических ремонтов столовых залов в МБОУ «СШ №11 и МБОУ «СШ № 29», размещение рекламы о наборе производственного персонала, потребление тепловой энергии в здание ООО «Парадиз».</w:t>
      </w:r>
    </w:p>
    <w:p w:rsidR="00CF56B9" w:rsidRPr="002651B4" w:rsidRDefault="00CF56B9" w:rsidP="008A1691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положения</w:t>
      </w:r>
      <w:r w:rsidR="00753CCB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коллективного договора и положения об оплате труда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отвечающие требованиям действующего законодательства</w:t>
      </w:r>
      <w:r w:rsidR="00753CCB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6B9" w:rsidRPr="002651B4" w:rsidRDefault="00CF56B9" w:rsidP="008A1691">
      <w:pPr>
        <w:pStyle w:val="a8"/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условий Положения об оплате труда единовременная премия итогам работы за 2016 год начислялась работникам, уволенным по причинам, не являющимися основанием для ее выплаты, в результате неправомерные расходы составили </w:t>
      </w:r>
      <w:r w:rsidRPr="002651B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3 712,00 тыс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 с учетом страховых выплат;</w:t>
      </w:r>
    </w:p>
    <w:p w:rsidR="00CF56B9" w:rsidRPr="002651B4" w:rsidRDefault="00753CCB" w:rsidP="008A1691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 ряд нарушений норм трудового законодательства осуществлении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выплаты заработной платы работникам </w:t>
      </w:r>
    </w:p>
    <w:p w:rsidR="00CF56B9" w:rsidRPr="002651B4" w:rsidRDefault="002651B4" w:rsidP="008A1691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были выявлены нарушения ТК РФ и несоблюдение локальных актов общества, регулирующих оплату труда руководителя </w:t>
      </w:r>
    </w:p>
    <w:p w:rsidR="00CF56B9" w:rsidRPr="002651B4" w:rsidRDefault="00CF56B9" w:rsidP="008A1691">
      <w:pPr>
        <w:pStyle w:val="a8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выявлены случаи, когда </w:t>
      </w:r>
      <w:r w:rsidR="002651B4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допускалось заключение договоров гражданско-правового характера, где стоимость предоставляемых </w:t>
      </w:r>
      <w:r w:rsidR="002651B4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бществом услуг для контрагентов (коммерческих организаций) устанавливалась на договорной основе с контрагентами при отсутствии утвержденных цен и тарифов на соответствующие виды продукции и услуг, которые в силу </w:t>
      </w:r>
      <w:r w:rsidR="002651B4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r w:rsidR="002651B4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бщества должны утверждаться директором </w:t>
      </w:r>
      <w:r w:rsidR="002651B4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общества;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56B9" w:rsidRPr="002651B4" w:rsidRDefault="002651B4" w:rsidP="008A1691">
      <w:pPr>
        <w:pStyle w:val="a8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бществом не в полной мере соблюдено требование Федерального закона от 06.12.2011 № 402-ФЗ «О бухгалтерском учете» по обязательству инвентаризации имущества и обязательств, в частности инвентаризация проведена только дебиторской и кредиторской задолженности покупателей и заказчиков. Отсутствуют инвентаризационные ведомости по инвентаризации налогов и сборов, резервов предстоящих расходов, расчетов по оплате труда, товаров на складах и прочие.</w:t>
      </w:r>
    </w:p>
    <w:p w:rsidR="00CF56B9" w:rsidRPr="002651B4" w:rsidRDefault="002651B4" w:rsidP="008A1691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дивидендов за 2016 год </w:t>
      </w:r>
      <w:r w:rsidR="00CF56B9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(340,24 тыс. рублей) по сравнению с перечислениями 2015 года (102,06 тыс. рублей) более чем в три раза. </w:t>
      </w:r>
    </w:p>
    <w:p w:rsidR="00CF56B9" w:rsidRPr="002651B4" w:rsidRDefault="00CF56B9" w:rsidP="008A1691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увеличение сумм выплат дивидендов за счет повышения доли прибыли, направляемой </w:t>
      </w:r>
      <w:r w:rsid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бществом на выплату дивидендов на 10% (с 25% до 35%)</w:t>
      </w:r>
      <w:r w:rsid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2015 года, наблюдается тенденция снижения объема чистой прибыли по сравнению с предыдущими отче</w:t>
      </w:r>
      <w:r w:rsidR="002651B4"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тными периодами;</w:t>
      </w:r>
    </w:p>
    <w:p w:rsidR="00CF56B9" w:rsidRPr="00B930F5" w:rsidRDefault="00CF56B9" w:rsidP="008A1691">
      <w:pPr>
        <w:pStyle w:val="a8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1B4"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 фактически не осуществляет виды деятельности для реализации своей основной цели создания и деятельности</w:t>
      </w:r>
      <w:r w:rsidR="002651B4"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тем, что не является субъектом малого предпринимательства, которые имеют преимущество при участии в соответствующих закупках.</w:t>
      </w:r>
    </w:p>
    <w:p w:rsidR="00CF56B9" w:rsidRPr="00B930F5" w:rsidRDefault="00E01667" w:rsidP="00E01667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Всего в</w:t>
      </w:r>
      <w:r w:rsidR="00CF56B9"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ыявлено нарушений:  </w:t>
      </w:r>
    </w:p>
    <w:p w:rsidR="00CF56B9" w:rsidRPr="00B930F5" w:rsidRDefault="00CF56B9" w:rsidP="00CF56B9">
      <w:pPr>
        <w:tabs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получены доходы по деятельности, </w:t>
      </w:r>
    </w:p>
    <w:p w:rsidR="00CF56B9" w:rsidRPr="00CF56B9" w:rsidRDefault="00CF56B9" w:rsidP="00CF56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предусмотренной учредительными</w:t>
      </w:r>
      <w:r w:rsidRPr="00CF56B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CF56B9" w:rsidRPr="00B930F5" w:rsidRDefault="00CF56B9" w:rsidP="00CF56B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                                                                   13 477,37 тыс. рублей;</w:t>
      </w:r>
    </w:p>
    <w:p w:rsidR="00CF56B9" w:rsidRPr="00B930F5" w:rsidRDefault="00CF56B9" w:rsidP="00CF56B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6B9" w:rsidRPr="00B930F5" w:rsidRDefault="00CF56B9" w:rsidP="00CF56B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0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неправомерные расходы                                                4 127,49 тыс. рублей.</w:t>
      </w:r>
    </w:p>
    <w:p w:rsidR="006A62BE" w:rsidRDefault="006A62BE" w:rsidP="00E01667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1667" w:rsidRDefault="00E01667" w:rsidP="00E0166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го мероприятия направлены отчет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Председателю Думы города и  Главе города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E01667" w:rsidRPr="00CF56B9" w:rsidRDefault="00E01667" w:rsidP="00E01667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D13" w:rsidRPr="000A0C3E" w:rsidRDefault="006F0D13" w:rsidP="00E01667">
      <w:pPr>
        <w:spacing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A0C3E">
        <w:rPr>
          <w:rFonts w:ascii="Times New Roman" w:eastAsia="Arial Unicode MS" w:hAnsi="Times New Roman" w:cs="Times New Roman"/>
          <w:b/>
          <w:sz w:val="28"/>
          <w:szCs w:val="28"/>
        </w:rPr>
        <w:t>Проверка эффективности использования бюджетных средств на реализацию муниципальной программы «Комплекс мероприятий по профилактике правонарушений в городе Нижневартовске на 2015-2020 годы» (выборочные мероприятия), в том числе основное мероприятие «Создание условий для деятельности народных дружин»</w:t>
      </w:r>
    </w:p>
    <w:p w:rsidR="006F0D13" w:rsidRPr="006F0D13" w:rsidRDefault="006F0D13" w:rsidP="006F0D13">
      <w:pPr>
        <w:pStyle w:val="a8"/>
        <w:tabs>
          <w:tab w:val="left" w:pos="284"/>
        </w:tabs>
        <w:spacing w:before="12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F0D13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установлено следующее.</w:t>
      </w:r>
    </w:p>
    <w:p w:rsidR="006F0D13" w:rsidRPr="008548F3" w:rsidRDefault="006F0D13" w:rsidP="006F0D1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D13" w:rsidRPr="006F0D13" w:rsidRDefault="006F0D13" w:rsidP="008A169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6F0D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осуществление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органами местного самоуправления города </w:t>
      </w:r>
      <w:r w:rsidRPr="006F0D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мероприятий </w:t>
      </w:r>
      <w:r w:rsidRPr="006F0D13">
        <w:rPr>
          <w:rFonts w:ascii="Times New Roman" w:eastAsia="Calibri" w:hAnsi="Times New Roman" w:cs="Times New Roman"/>
          <w:sz w:val="28"/>
          <w:szCs w:val="28"/>
        </w:rPr>
        <w:t>в сфере профилактики правонарушений</w:t>
      </w:r>
      <w:r w:rsidRPr="006F0D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при отсутствии необходимого </w:t>
      </w:r>
      <w:r w:rsidRPr="006F0D13">
        <w:rPr>
          <w:rFonts w:ascii="Times New Roman" w:eastAsia="Calibri" w:hAnsi="Times New Roman" w:cs="Times New Roman"/>
          <w:sz w:val="28"/>
          <w:szCs w:val="28"/>
        </w:rPr>
        <w:t>решени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F0D13">
        <w:rPr>
          <w:rFonts w:ascii="Times New Roman" w:eastAsia="Calibri" w:hAnsi="Times New Roman" w:cs="Times New Roman"/>
          <w:sz w:val="28"/>
          <w:szCs w:val="28"/>
        </w:rPr>
        <w:t xml:space="preserve"> Думы города о реализации права на участие в осуществлении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соответствующих </w:t>
      </w:r>
      <w:r w:rsidRPr="006F0D13">
        <w:rPr>
          <w:rFonts w:ascii="Times New Roman" w:eastAsia="Calibri" w:hAnsi="Times New Roman" w:cs="Times New Roman"/>
          <w:sz w:val="28"/>
          <w:szCs w:val="28"/>
        </w:rPr>
        <w:t>государственных полномочий, не переданных органам местного самоуправления города Нижневартовска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6F0D1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6F0D13" w:rsidRPr="00FF5A78" w:rsidRDefault="006F0D13" w:rsidP="008A1691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A78">
        <w:rPr>
          <w:rFonts w:ascii="Times New Roman" w:hAnsi="Times New Roman" w:cs="Times New Roman"/>
          <w:sz w:val="28"/>
          <w:szCs w:val="28"/>
        </w:rPr>
        <w:t>выявлены нарушения</w:t>
      </w:r>
      <w:r w:rsidRPr="00FF5A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F5A78">
        <w:rPr>
          <w:rFonts w:ascii="Times New Roman" w:hAnsi="Times New Roman" w:cs="Times New Roman"/>
          <w:sz w:val="28"/>
          <w:szCs w:val="28"/>
        </w:rPr>
        <w:t xml:space="preserve">порядка корректировки муниципальных программ, в части сроков внесения изменений в муниципальную программу. </w:t>
      </w:r>
    </w:p>
    <w:p w:rsidR="006F0D13" w:rsidRPr="00FF5A78" w:rsidRDefault="006F0D13" w:rsidP="008A1691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A78">
        <w:rPr>
          <w:rFonts w:ascii="Times New Roman" w:hAnsi="Times New Roman" w:cs="Times New Roman"/>
          <w:sz w:val="28"/>
          <w:szCs w:val="28"/>
        </w:rPr>
        <w:t>выявлено незначительное превышение утвержденных предельных объемов при расходовании денежных средств по некоторым направлениям сметы расходов по акции «Безопасный двор»;</w:t>
      </w:r>
    </w:p>
    <w:p w:rsidR="00FF5A78" w:rsidRPr="00FF5A78" w:rsidRDefault="00FF5A78" w:rsidP="008A1691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A78">
        <w:rPr>
          <w:rFonts w:ascii="Times New Roman" w:hAnsi="Times New Roman" w:cs="Times New Roman"/>
          <w:sz w:val="28"/>
          <w:szCs w:val="28"/>
        </w:rPr>
        <w:t>установлены нарушения в части осуществления закупок;</w:t>
      </w:r>
    </w:p>
    <w:p w:rsidR="006F0D13" w:rsidRPr="00FF5A78" w:rsidRDefault="00FF5A78" w:rsidP="008A1691">
      <w:pPr>
        <w:pStyle w:val="a8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F0D13" w:rsidRPr="00CD3220">
        <w:rPr>
          <w:rFonts w:ascii="Times New Roman" w:hAnsi="Times New Roman" w:cs="Times New Roman"/>
          <w:sz w:val="28"/>
          <w:szCs w:val="28"/>
        </w:rPr>
        <w:t xml:space="preserve">епартаментом образования администрации города организована поездка </w:t>
      </w:r>
      <w:r w:rsidR="006F0D13" w:rsidRPr="00CD3220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городской команды </w:t>
      </w:r>
      <w:r w:rsidR="006F0D13" w:rsidRPr="00B10488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муниципального </w:t>
      </w:r>
      <w:r w:rsidR="006F0D13" w:rsidRPr="00FF5A78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администрации города, обуславливающего правовые основания для принятия и исполнения </w:t>
      </w:r>
      <w:r w:rsidRPr="00FF5A78">
        <w:rPr>
          <w:rFonts w:ascii="Times New Roman" w:hAnsi="Times New Roman" w:cs="Times New Roman"/>
          <w:sz w:val="28"/>
          <w:szCs w:val="28"/>
        </w:rPr>
        <w:t>а</w:t>
      </w:r>
      <w:r w:rsidR="006F0D13" w:rsidRPr="00FF5A78">
        <w:rPr>
          <w:rFonts w:ascii="Times New Roman" w:hAnsi="Times New Roman" w:cs="Times New Roman"/>
          <w:sz w:val="28"/>
          <w:szCs w:val="28"/>
        </w:rPr>
        <w:t>дминистрацией города расходных обязательств, и предусматривающего предельный объем денежных средств по участию учащихся и их сопровождающих в город Ханты-Мансийск в окружных соревно</w:t>
      </w:r>
      <w:r w:rsidRPr="00FF5A78">
        <w:rPr>
          <w:rFonts w:ascii="Times New Roman" w:hAnsi="Times New Roman" w:cs="Times New Roman"/>
          <w:sz w:val="28"/>
          <w:szCs w:val="28"/>
        </w:rPr>
        <w:t>ваниях «Безопасное колесо-2015»;</w:t>
      </w:r>
    </w:p>
    <w:p w:rsidR="006F0D13" w:rsidRDefault="006F0D13" w:rsidP="008A169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7C8">
        <w:rPr>
          <w:rFonts w:ascii="Times New Roman" w:hAnsi="Times New Roman" w:cs="Times New Roman"/>
          <w:sz w:val="28"/>
          <w:szCs w:val="28"/>
        </w:rPr>
        <w:t xml:space="preserve">неправомерно </w:t>
      </w:r>
      <w:r>
        <w:rPr>
          <w:rFonts w:ascii="Times New Roman" w:hAnsi="Times New Roman" w:cs="Times New Roman"/>
          <w:sz w:val="28"/>
          <w:szCs w:val="28"/>
        </w:rPr>
        <w:t>перечислены денежные средства</w:t>
      </w:r>
      <w:r w:rsidRPr="008D17C8">
        <w:rPr>
          <w:rFonts w:ascii="Times New Roman" w:hAnsi="Times New Roman" w:cs="Times New Roman"/>
          <w:sz w:val="28"/>
          <w:szCs w:val="28"/>
        </w:rPr>
        <w:t xml:space="preserve"> в размере 26 869,40 рублей за проезд, проживание, питание четырех участников окружных соревнований «Безопасное колесо – 2015»</w:t>
      </w:r>
      <w:r w:rsidR="00FF5A78">
        <w:rPr>
          <w:rFonts w:ascii="Times New Roman" w:hAnsi="Times New Roman" w:cs="Times New Roman"/>
          <w:sz w:val="28"/>
          <w:szCs w:val="28"/>
        </w:rPr>
        <w:t>;</w:t>
      </w:r>
    </w:p>
    <w:p w:rsidR="006F0D13" w:rsidRPr="00FF5A78" w:rsidRDefault="006F0D13" w:rsidP="008A1691">
      <w:pPr>
        <w:pStyle w:val="a8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A78">
        <w:rPr>
          <w:rFonts w:ascii="Times New Roman" w:hAnsi="Times New Roman" w:cs="Times New Roman"/>
          <w:sz w:val="28"/>
          <w:szCs w:val="28"/>
        </w:rPr>
        <w:t xml:space="preserve">расходы на возмещение связанных с исполнением договора гражданско-правового характера, предметом которого является безвозмездное оказание услуг по сопровождению обучающихся в г. Ханты – Мансийск </w:t>
      </w:r>
      <w:r w:rsidR="00FF5A78">
        <w:rPr>
          <w:rFonts w:ascii="Times New Roman" w:hAnsi="Times New Roman" w:cs="Times New Roman"/>
          <w:sz w:val="28"/>
          <w:szCs w:val="28"/>
        </w:rPr>
        <w:t>отражены по</w:t>
      </w:r>
      <w:r w:rsidRPr="00FF5A78">
        <w:rPr>
          <w:rFonts w:ascii="Times New Roman" w:hAnsi="Times New Roman" w:cs="Times New Roman"/>
          <w:sz w:val="28"/>
          <w:szCs w:val="28"/>
        </w:rPr>
        <w:t xml:space="preserve"> </w:t>
      </w:r>
      <w:r w:rsidR="00FF5A78" w:rsidRPr="00FF5A78">
        <w:rPr>
          <w:rFonts w:ascii="Times New Roman" w:hAnsi="Times New Roman" w:cs="Times New Roman"/>
          <w:sz w:val="28"/>
          <w:szCs w:val="28"/>
        </w:rPr>
        <w:t>ненадлежащ</w:t>
      </w:r>
      <w:r w:rsidR="00FF5A78">
        <w:rPr>
          <w:rFonts w:ascii="Times New Roman" w:hAnsi="Times New Roman" w:cs="Times New Roman"/>
          <w:sz w:val="28"/>
          <w:szCs w:val="28"/>
        </w:rPr>
        <w:t>ему</w:t>
      </w:r>
      <w:r w:rsidR="00FF5A78" w:rsidRPr="00FF5A78">
        <w:rPr>
          <w:rFonts w:ascii="Times New Roman" w:hAnsi="Times New Roman" w:cs="Times New Roman"/>
          <w:sz w:val="28"/>
          <w:szCs w:val="28"/>
        </w:rPr>
        <w:t xml:space="preserve"> </w:t>
      </w:r>
      <w:r w:rsidRPr="00FF5A78">
        <w:rPr>
          <w:rFonts w:ascii="Times New Roman" w:hAnsi="Times New Roman" w:cs="Times New Roman"/>
          <w:sz w:val="28"/>
          <w:szCs w:val="28"/>
        </w:rPr>
        <w:t>КОСГУ:</w:t>
      </w:r>
    </w:p>
    <w:p w:rsidR="006F0D13" w:rsidRPr="00FF5A78" w:rsidRDefault="00FF5A78" w:rsidP="008A1691">
      <w:pPr>
        <w:pStyle w:val="a8"/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F0D13" w:rsidRPr="00FF5A78">
        <w:rPr>
          <w:rFonts w:ascii="Times New Roman" w:hAnsi="Times New Roman" w:cs="Times New Roman"/>
          <w:sz w:val="28"/>
          <w:szCs w:val="28"/>
        </w:rPr>
        <w:t xml:space="preserve">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F0D13" w:rsidRPr="00FF5A78">
        <w:rPr>
          <w:rFonts w:ascii="Times New Roman" w:hAnsi="Times New Roman" w:cs="Times New Roman"/>
          <w:sz w:val="28"/>
          <w:szCs w:val="28"/>
        </w:rPr>
        <w:t>униципальной программы за 2015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F0D13" w:rsidRPr="00FF5A78">
        <w:rPr>
          <w:rFonts w:ascii="Times New Roman" w:hAnsi="Times New Roman" w:cs="Times New Roman"/>
          <w:sz w:val="28"/>
          <w:szCs w:val="28"/>
        </w:rPr>
        <w:t xml:space="preserve"> 2016 годы по утвержденным целевым показателям эффективности согласно </w:t>
      </w:r>
      <w:r w:rsidR="006F0D13" w:rsidRPr="00FF5A78">
        <w:rPr>
          <w:rFonts w:ascii="Times New Roman" w:hAnsi="Times New Roman" w:cs="Times New Roman"/>
          <w:sz w:val="28"/>
          <w:szCs w:val="28"/>
        </w:rPr>
        <w:lastRenderedPageBreak/>
        <w:t>соответствующей отчетности ответственного исполнителя, достигнуты в основном по всем целевым показателям, а по отдельным целевым показателям – перевыполнены. Ожидаемая эффективность реализации Муниципальной программы за указанные периоды достигнута.</w:t>
      </w:r>
    </w:p>
    <w:p w:rsidR="006F0D13" w:rsidRPr="00056450" w:rsidRDefault="006F0D13" w:rsidP="006F0D1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F0D13" w:rsidRPr="00FF5A78" w:rsidRDefault="006F0D13" w:rsidP="006F0D1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A78">
        <w:rPr>
          <w:rFonts w:ascii="Times New Roman" w:hAnsi="Times New Roman" w:cs="Times New Roman"/>
          <w:sz w:val="28"/>
          <w:szCs w:val="28"/>
        </w:rPr>
        <w:t xml:space="preserve">Всего выявлено нарушений                                               27,89 тыс. рублей, в том числе:  </w:t>
      </w:r>
    </w:p>
    <w:p w:rsidR="006F0D13" w:rsidRPr="00FF5A78" w:rsidRDefault="006F0D13" w:rsidP="006F0D13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A78">
        <w:rPr>
          <w:rFonts w:ascii="Times New Roman" w:hAnsi="Times New Roman" w:cs="Times New Roman"/>
          <w:sz w:val="28"/>
          <w:szCs w:val="28"/>
        </w:rPr>
        <w:t xml:space="preserve">неправомерные                                                                           26, 86 тыс. рублей;  </w:t>
      </w:r>
    </w:p>
    <w:p w:rsidR="006F0D13" w:rsidRPr="00FF5A78" w:rsidRDefault="006F0D13" w:rsidP="006F0D13">
      <w:pPr>
        <w:pStyle w:val="a8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F5A78">
        <w:rPr>
          <w:rFonts w:ascii="Times New Roman" w:hAnsi="Times New Roman" w:cs="Times New Roman"/>
          <w:sz w:val="28"/>
          <w:szCs w:val="28"/>
        </w:rPr>
        <w:t>прочие расходы                                                                               1, 03 тыс. рублей.</w:t>
      </w:r>
    </w:p>
    <w:p w:rsidR="00FF550C" w:rsidRDefault="00FF550C" w:rsidP="00FF550C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го мероприятия направлены отчет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Председателю Думы города и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представление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Главе города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FF550C" w:rsidRDefault="00FF550C" w:rsidP="00FF550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A78" w:rsidRPr="000A0C3E" w:rsidRDefault="00FF5A78" w:rsidP="00FF550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исчисления доходов, полученных в виде дивидендов за 2016 год по находящимся в муниципальной собственности акциям ОАО </w:t>
      </w:r>
      <w:r w:rsidRPr="000A0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«Аптека № 220» (по отдельным вопросам)</w:t>
      </w: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Анализ </w:t>
      </w:r>
      <w:r w:rsidRPr="000A0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эффективности управления пакетом акций</w:t>
      </w: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ОАО </w:t>
      </w:r>
      <w:r w:rsidRPr="000A0C3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«Аптека № 220», находящимся в муниципальной собственности, за период 2015-2016 годов</w:t>
      </w:r>
    </w:p>
    <w:p w:rsidR="00FF5A78" w:rsidRDefault="00FF5A78" w:rsidP="00FF550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50C" w:rsidRPr="004C1C80" w:rsidRDefault="00FF550C" w:rsidP="00FF550C">
      <w:pPr>
        <w:shd w:val="clear" w:color="auto" w:fill="FFFFFF"/>
        <w:tabs>
          <w:tab w:val="num" w:pos="-567"/>
        </w:tabs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Согласно Уставу, Общество осуществляет свою деятельность с целью извлечения прибыли и удовлетворения потребностей юридических и физических лиц в работах и услугах, оказываемых Обществом, и имеет право осуществлять следующие виды деятельности:</w:t>
      </w:r>
    </w:p>
    <w:p w:rsidR="004C1C80" w:rsidRPr="004C1C80" w:rsidRDefault="00FF550C" w:rsidP="008A1691">
      <w:pPr>
        <w:pStyle w:val="a8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фармацевтическая деятельность (розничная торговля лекарственными средствами)</w:t>
      </w:r>
      <w:r w:rsidR="004C1C80" w:rsidRPr="004C1C80">
        <w:rPr>
          <w:rFonts w:ascii="Times New Roman" w:hAnsi="Times New Roman" w:cs="Times New Roman"/>
          <w:sz w:val="28"/>
          <w:szCs w:val="28"/>
        </w:rPr>
        <w:t>;</w:t>
      </w:r>
    </w:p>
    <w:p w:rsidR="004C1C80" w:rsidRPr="004C1C80" w:rsidRDefault="00FF550C" w:rsidP="008A1691">
      <w:pPr>
        <w:pStyle w:val="a8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right="-5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 xml:space="preserve">деятельность, связанная с оборотом наркотических и психотропных веществ, внесенных в список </w:t>
      </w:r>
      <w:r w:rsidRPr="004C1C8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1C80">
        <w:rPr>
          <w:rFonts w:ascii="Times New Roman" w:hAnsi="Times New Roman" w:cs="Times New Roman"/>
          <w:sz w:val="28"/>
          <w:szCs w:val="28"/>
        </w:rPr>
        <w:t xml:space="preserve"> и </w:t>
      </w:r>
      <w:r w:rsidRPr="004C1C8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C1C80" w:rsidRPr="004C1C80">
        <w:rPr>
          <w:rFonts w:ascii="Times New Roman" w:hAnsi="Times New Roman" w:cs="Times New Roman"/>
          <w:sz w:val="28"/>
          <w:szCs w:val="28"/>
        </w:rPr>
        <w:t>.</w:t>
      </w:r>
    </w:p>
    <w:p w:rsidR="00FF550C" w:rsidRPr="004C1C80" w:rsidRDefault="00FF550C" w:rsidP="00FF550C">
      <w:pPr>
        <w:pStyle w:val="a8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Единственный акционер Общества - Муниципальное образования города Нижневартовска.</w:t>
      </w:r>
    </w:p>
    <w:p w:rsidR="00FF550C" w:rsidRPr="004C1C80" w:rsidRDefault="00FF550C" w:rsidP="00FF55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По итогам финансово-хозяйственной деятельности за 2016 год Обществом по данным бухгалтерского учета получена чистая прибыль в сумме 15 726,00 тыс. рублей, которая превысила финансовые результаты предыдущего 2015 года на 3 891,00 тыс. рублей.</w:t>
      </w:r>
    </w:p>
    <w:p w:rsidR="004C1C80" w:rsidRPr="004C1C80" w:rsidRDefault="004C1C80" w:rsidP="004C1C80">
      <w:pPr>
        <w:spacing w:before="12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C1C80">
        <w:rPr>
          <w:rFonts w:ascii="Times New Roman" w:hAnsi="Times New Roman" w:cs="Times New Roman"/>
          <w:b/>
          <w:sz w:val="28"/>
          <w:szCs w:val="28"/>
        </w:rPr>
        <w:t>Анализ</w:t>
      </w:r>
      <w:r w:rsidRPr="004C1C80">
        <w:rPr>
          <w:rFonts w:ascii="Times New Roman" w:hAnsi="Times New Roman" w:cs="Times New Roman"/>
          <w:sz w:val="28"/>
          <w:szCs w:val="28"/>
        </w:rPr>
        <w:t xml:space="preserve"> </w:t>
      </w:r>
      <w:r w:rsidRPr="004C1C80">
        <w:rPr>
          <w:rFonts w:ascii="Times New Roman" w:eastAsia="Calibri" w:hAnsi="Times New Roman" w:cs="Times New Roman"/>
          <w:sz w:val="28"/>
          <w:szCs w:val="28"/>
        </w:rPr>
        <w:t>эффективности управления пакетом акций</w:t>
      </w:r>
      <w:r w:rsidRPr="004C1C80">
        <w:rPr>
          <w:rFonts w:ascii="Times New Roman" w:hAnsi="Times New Roman" w:cs="Times New Roman"/>
          <w:sz w:val="28"/>
          <w:szCs w:val="28"/>
        </w:rPr>
        <w:t xml:space="preserve"> ОАО </w:t>
      </w:r>
      <w:r w:rsidRPr="004C1C80">
        <w:rPr>
          <w:rFonts w:ascii="Times New Roman" w:eastAsia="Calibri" w:hAnsi="Times New Roman" w:cs="Times New Roman"/>
          <w:sz w:val="28"/>
          <w:szCs w:val="28"/>
        </w:rPr>
        <w:t xml:space="preserve">«Аптека № 220», находящимся в муниципальной собственности, за </w:t>
      </w:r>
      <w:r w:rsidR="00B7541F">
        <w:rPr>
          <w:rFonts w:ascii="Times New Roman" w:eastAsia="Calibri" w:hAnsi="Times New Roman" w:cs="Times New Roman"/>
          <w:sz w:val="28"/>
          <w:szCs w:val="28"/>
        </w:rPr>
        <w:t>2016 год, показал следующее:</w:t>
      </w:r>
    </w:p>
    <w:p w:rsidR="004C1C80" w:rsidRPr="004C1C80" w:rsidRDefault="004C1C80" w:rsidP="008A1691">
      <w:pPr>
        <w:pStyle w:val="a8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сохранилась положительная динамика роста всех основных показателей, отражающих финансовую устойчивость, платежеспособность, эффективность использования активов и источников их формирования;</w:t>
      </w:r>
    </w:p>
    <w:p w:rsidR="004C1C80" w:rsidRPr="004C1C80" w:rsidRDefault="004C1C80" w:rsidP="008A1691">
      <w:pPr>
        <w:pStyle w:val="a8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lastRenderedPageBreak/>
        <w:t xml:space="preserve">отсутствуют выявленные нарушения законодательства в сфере осуществления фармацевтической деятельности, соответственно отсутствуют негативные последствия в деятельности Общества; </w:t>
      </w:r>
    </w:p>
    <w:p w:rsidR="004C1C80" w:rsidRPr="004C1C80" w:rsidRDefault="004C1C80" w:rsidP="008A1691">
      <w:pPr>
        <w:pStyle w:val="a8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 xml:space="preserve">в полной мере исполняются все принятые Коллективным договором и локальными документами гарантии по социальной поддержке работников, тем самым отсутствует социальная напряженность в коллективе; </w:t>
      </w:r>
    </w:p>
    <w:p w:rsidR="004C1C80" w:rsidRPr="004C1C80" w:rsidRDefault="004C1C80" w:rsidP="008A1691">
      <w:pPr>
        <w:pStyle w:val="a8"/>
        <w:numPr>
          <w:ilvl w:val="0"/>
          <w:numId w:val="2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обеспечено увеличение по сравнению с 2015 годом чистой прибыли на 32,9%, что соответственно способствовало увеличению поступления дивидендов за акции, находящиеся в муниципальной собственности, на 32,9%.</w:t>
      </w:r>
    </w:p>
    <w:p w:rsidR="004C1C80" w:rsidRPr="004C1C80" w:rsidRDefault="004C1C80" w:rsidP="004C1C80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 xml:space="preserve">Отсюда следует вывод, что в условиях высокой конкуренции в фармацевтической сфере деятельности руководителем Общества за 2016 год принимались эффективные управленческие решения для достижения основной цели, как коммерческой организации, извлечение прибыли от хозяйственной деятельности. </w:t>
      </w:r>
    </w:p>
    <w:p w:rsidR="004C1C80" w:rsidRPr="004C1C80" w:rsidRDefault="004C1C80" w:rsidP="004C1C8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C80">
        <w:rPr>
          <w:rFonts w:ascii="Times New Roman" w:eastAsia="Calibri" w:hAnsi="Times New Roman" w:cs="Times New Roman"/>
          <w:sz w:val="28"/>
          <w:szCs w:val="28"/>
        </w:rPr>
        <w:t>Вместе с тем установлены отдельные отрицательные факторы по итогам деятельности за 2016 год, а именно:</w:t>
      </w:r>
    </w:p>
    <w:p w:rsidR="004C1C80" w:rsidRPr="004C1C80" w:rsidRDefault="004C1C80" w:rsidP="008A1691">
      <w:pPr>
        <w:pStyle w:val="a8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увеличение по сравнению с 2015 годом краткосрочных обязательств на 13 519,00 тыс. рублей, где основную долю увеличения обязательств составила кредиторская задолженность в сумме 9 655,00 тыс. рублей, что в дальнейшем может привести к снижению финансовой стабильности Общества.</w:t>
      </w:r>
    </w:p>
    <w:p w:rsidR="004C1C80" w:rsidRPr="004C1C80" w:rsidRDefault="004C1C80" w:rsidP="008A1691">
      <w:pPr>
        <w:pStyle w:val="a8"/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>имеется тенденция снижения прибыли от продаж за 2016 год по сравнению с 2015 годом на 38,5% или 9 054,00 тыс. рублей, в первую очередь за счет роста в 2016 году коммерческих расходов на 9,1% или 8 597,00 тыс. рублей.</w:t>
      </w:r>
    </w:p>
    <w:p w:rsidR="004C1C80" w:rsidRPr="004C1C80" w:rsidRDefault="004C1C80" w:rsidP="008A1691">
      <w:pPr>
        <w:pStyle w:val="a8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1C80">
        <w:rPr>
          <w:rFonts w:ascii="Times New Roman" w:hAnsi="Times New Roman" w:cs="Times New Roman"/>
          <w:sz w:val="28"/>
          <w:szCs w:val="28"/>
        </w:rPr>
        <w:t xml:space="preserve">не достигнуто утвержденное в Производственном плане (программе) на 2016 год плановое значение рентабельности продаж 0,5 (50%) по причине планирования высокого уровня рентабельности при сложившейся в базовом 2015 году средней торговой наценки в размере 30,8% и в 2016 году – 31,8%, за счет которых осуществляются коммерческие и общехозяйственные расходы, откуда следует, что при планирования значения рентабельности не были учтены все факторы, влияющие на формирование финансового результата – чистой прибыли Общества. </w:t>
      </w:r>
    </w:p>
    <w:p w:rsidR="00FF550C" w:rsidRDefault="00FF550C" w:rsidP="00FF550C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5A78" w:rsidRPr="00B605BF" w:rsidRDefault="00FF5A78" w:rsidP="00777DD6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нтрольного мероприятия установлено следующее:</w:t>
      </w:r>
    </w:p>
    <w:p w:rsidR="00FF5A78" w:rsidRPr="00B605BF" w:rsidRDefault="00FF5A78" w:rsidP="00FF5A78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A78" w:rsidRPr="00B605BF" w:rsidRDefault="00FF5A78" w:rsidP="008A169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5BF">
        <w:rPr>
          <w:rFonts w:ascii="Times New Roman" w:eastAsia="Calibri" w:hAnsi="Times New Roman" w:cs="Times New Roman"/>
          <w:sz w:val="28"/>
          <w:szCs w:val="28"/>
        </w:rPr>
        <w:t>в нарушение трудового законодательства допускалось неоднократное продление срочного т</w:t>
      </w:r>
      <w:r w:rsidR="00777DD6" w:rsidRPr="00B605BF">
        <w:rPr>
          <w:rFonts w:ascii="Times New Roman" w:eastAsia="Calibri" w:hAnsi="Times New Roman" w:cs="Times New Roman"/>
          <w:sz w:val="28"/>
          <w:szCs w:val="28"/>
        </w:rPr>
        <w:t>рудового с директором общества договора на новый срок;</w:t>
      </w:r>
    </w:p>
    <w:p w:rsidR="00FF5A78" w:rsidRPr="00B605BF" w:rsidRDefault="00FF5A78" w:rsidP="008A169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5BF">
        <w:rPr>
          <w:rFonts w:ascii="Times New Roman" w:eastAsia="Calibri" w:hAnsi="Times New Roman" w:cs="Times New Roman"/>
          <w:sz w:val="28"/>
          <w:szCs w:val="28"/>
        </w:rPr>
        <w:t xml:space="preserve">отсутствует принятое </w:t>
      </w:r>
      <w:r w:rsidR="00777DD6" w:rsidRPr="00B605BF">
        <w:rPr>
          <w:rFonts w:ascii="Times New Roman" w:eastAsia="Calibri" w:hAnsi="Times New Roman" w:cs="Times New Roman"/>
          <w:sz w:val="28"/>
          <w:szCs w:val="28"/>
        </w:rPr>
        <w:t>о</w:t>
      </w:r>
      <w:r w:rsidRPr="00B605BF">
        <w:rPr>
          <w:rFonts w:ascii="Times New Roman" w:eastAsia="Calibri" w:hAnsi="Times New Roman" w:cs="Times New Roman"/>
          <w:sz w:val="28"/>
          <w:szCs w:val="28"/>
        </w:rPr>
        <w:t xml:space="preserve">бщим собранием акционеров </w:t>
      </w:r>
      <w:r w:rsidR="00777DD6" w:rsidRPr="00B605BF">
        <w:rPr>
          <w:rFonts w:ascii="Times New Roman" w:eastAsia="Calibri" w:hAnsi="Times New Roman" w:cs="Times New Roman"/>
          <w:sz w:val="28"/>
          <w:szCs w:val="28"/>
        </w:rPr>
        <w:t>положение о ревизоре;</w:t>
      </w:r>
    </w:p>
    <w:p w:rsidR="00777DD6" w:rsidRPr="00B605BF" w:rsidRDefault="00FF5A78" w:rsidP="008A1691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става 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 не соответствуют действующему законо</w:t>
      </w:r>
      <w:r w:rsid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дательству Российской Федерации;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7DD6" w:rsidRPr="00B605BF" w:rsidRDefault="00777DD6" w:rsidP="008A1691">
      <w:pPr>
        <w:pStyle w:val="a8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условиях высокой конкуренции в фармацевтической сфере деятельности руководителем общества за 2016 год принимались эффективные управленческие решения для достижения основной цели, как коммерческой организации, извлечение прибыл</w:t>
      </w:r>
      <w:r w:rsid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хозяйственной деятельности;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A78" w:rsidRPr="00B605BF" w:rsidRDefault="00FF5A78" w:rsidP="008A1691">
      <w:pPr>
        <w:pStyle w:val="a8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факту показатель рентабельности продаж 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 за 2016 год (0,04) превысил у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ровень 2015 года (0,03) на 0,01;</w:t>
      </w:r>
    </w:p>
    <w:p w:rsidR="00777DD6" w:rsidRPr="00B605BF" w:rsidRDefault="00FF5A78" w:rsidP="008A1691">
      <w:pPr>
        <w:pStyle w:val="a8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Calibri" w:hAnsi="Times New Roman" w:cs="Times New Roman"/>
          <w:sz w:val="28"/>
          <w:szCs w:val="28"/>
        </w:rPr>
        <w:t>установлен</w:t>
      </w:r>
      <w:r w:rsidRPr="00B605B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принятия на баланс 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 земельных участков, находящихся в общедолевой собственности в многоквартирных домах, на общую сумму 9 301,47 тыс. рублей, при отсутствии одновременного выполнения ряда установленных правилами бухгалтерского учета условий для признания данных земельных участков самостоятельн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объектами основных средств;</w:t>
      </w:r>
    </w:p>
    <w:p w:rsidR="00FF5A78" w:rsidRPr="00B605BF" w:rsidRDefault="00777DD6" w:rsidP="008A1691">
      <w:pPr>
        <w:pStyle w:val="a8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установлены многочисленные нарушения в организации и планировании закупок, а также при их осуществлении;</w:t>
      </w:r>
    </w:p>
    <w:p w:rsidR="00777DD6" w:rsidRPr="00B605BF" w:rsidRDefault="00FF5A78" w:rsidP="008A1691">
      <w:pPr>
        <w:pStyle w:val="a8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установлены </w:t>
      </w:r>
      <w:r w:rsidR="00B605BF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множественные 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нарушения бухгалтерского и налогового законодательства, противоречия 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четной политике</w:t>
      </w:r>
      <w:r w:rsid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F5A78" w:rsidRPr="00B605BF" w:rsidRDefault="00777DD6" w:rsidP="008A1691">
      <w:pPr>
        <w:pStyle w:val="a8"/>
        <w:numPr>
          <w:ilvl w:val="0"/>
          <w:numId w:val="10"/>
        </w:numPr>
        <w:tabs>
          <w:tab w:val="left" w:pos="0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установлено осуществление о</w:t>
      </w:r>
      <w:r w:rsidR="00FF5A78" w:rsidRPr="00B605BF">
        <w:rPr>
          <w:rFonts w:ascii="Times New Roman" w:eastAsia="Calibri" w:hAnsi="Times New Roman" w:cs="Times New Roman"/>
          <w:sz w:val="28"/>
          <w:szCs w:val="28"/>
          <w:lang w:eastAsia="ru-RU"/>
        </w:rPr>
        <w:t>бществом вида деятельности, н</w:t>
      </w:r>
      <w:r w:rsidR="00B605BF">
        <w:rPr>
          <w:rFonts w:ascii="Times New Roman" w:eastAsia="Calibri" w:hAnsi="Times New Roman" w:cs="Times New Roman"/>
          <w:sz w:val="28"/>
          <w:szCs w:val="28"/>
          <w:lang w:eastAsia="ru-RU"/>
        </w:rPr>
        <w:t>е предусмотренного его Уставом;</w:t>
      </w:r>
    </w:p>
    <w:p w:rsidR="00FF5A78" w:rsidRPr="00B605BF" w:rsidRDefault="00FF5A78" w:rsidP="008A1691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необоснованно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завышены прочие (внереализационные) доходы, следовательно, прибыль к налогообложению по итогам деятельности за 2016 год на сумму 9 301,47 тыс. рублей, что привело к излишней уплате налога на прибыль (20%</w:t>
      </w:r>
      <w:r w:rsidR="00777DD6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сумме 1 860,29 тыс. рублей;</w:t>
      </w:r>
    </w:p>
    <w:p w:rsidR="00FF5A78" w:rsidRPr="00B605BF" w:rsidRDefault="00777DD6" w:rsidP="008A1691">
      <w:pPr>
        <w:pStyle w:val="a8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5BF">
        <w:rPr>
          <w:rFonts w:ascii="Times New Roman" w:eastAsia="Calibri" w:hAnsi="Times New Roman" w:cs="Times New Roman"/>
          <w:sz w:val="28"/>
          <w:szCs w:val="28"/>
        </w:rPr>
        <w:t>о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>бществом при исполнении государственных контрактов осуществлялась поставка лекарственных средств медицинским организациям при отсутствии лицензии на осуществление деятельности по производству лекарственных средств или лицензии на фармацевтическую деятельность с указанием «оптовая торг</w:t>
      </w:r>
      <w:r w:rsidR="00B605BF">
        <w:rPr>
          <w:rFonts w:ascii="Times New Roman" w:eastAsia="Calibri" w:hAnsi="Times New Roman" w:cs="Times New Roman"/>
          <w:sz w:val="28"/>
          <w:szCs w:val="28"/>
        </w:rPr>
        <w:t>овля лекарственными средствами»;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F5A78" w:rsidRPr="00B605BF" w:rsidRDefault="00B605BF" w:rsidP="008A1691">
      <w:pPr>
        <w:pStyle w:val="a8"/>
        <w:numPr>
          <w:ilvl w:val="0"/>
          <w:numId w:val="10"/>
        </w:numPr>
        <w:tabs>
          <w:tab w:val="left" w:pos="0"/>
          <w:tab w:val="left" w:pos="567"/>
        </w:tabs>
        <w:spacing w:before="12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обществом </w:t>
      </w:r>
      <w:r w:rsidR="00FF5A78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занижена налогооблагаемая база по налогу на прибыль за 2016 год на 3 996,70 тыс. рублей, и налог на прибыль к уплате занижен на 799,34 тыс. рублей (3996,70х20%)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F5A78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A78" w:rsidRPr="00B605BF" w:rsidRDefault="00B605BF" w:rsidP="008A1691">
      <w:pPr>
        <w:pStyle w:val="a8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F5A78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бществом допускалось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 xml:space="preserve">установление </w:t>
      </w:r>
      <w:r w:rsidRPr="00B605BF">
        <w:rPr>
          <w:rFonts w:ascii="Times New Roman" w:eastAsia="Calibri" w:hAnsi="Times New Roman" w:cs="Times New Roman"/>
          <w:sz w:val="28"/>
          <w:szCs w:val="28"/>
        </w:rPr>
        <w:t xml:space="preserve">в коллективном договоре 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>положений, предусматривающих не равн</w:t>
      </w:r>
      <w:r w:rsidRPr="00B605BF">
        <w:rPr>
          <w:rFonts w:ascii="Times New Roman" w:eastAsia="Calibri" w:hAnsi="Times New Roman" w:cs="Times New Roman"/>
          <w:sz w:val="28"/>
          <w:szCs w:val="28"/>
        </w:rPr>
        <w:t>ый подход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 xml:space="preserve"> к определению размера единовременных выплат социального характера для работников</w:t>
      </w:r>
      <w:r w:rsidRPr="00B605B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 xml:space="preserve">принятие </w:t>
      </w:r>
      <w:r w:rsidRPr="00B605BF">
        <w:rPr>
          <w:rFonts w:ascii="Times New Roman" w:eastAsia="Calibri" w:hAnsi="Times New Roman" w:cs="Times New Roman"/>
          <w:sz w:val="28"/>
          <w:szCs w:val="28"/>
        </w:rPr>
        <w:t>п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 xml:space="preserve">оложения о служебных командировках, содержащего </w:t>
      </w:r>
      <w:r w:rsidRPr="00B605BF">
        <w:rPr>
          <w:rFonts w:ascii="Times New Roman" w:eastAsia="Calibri" w:hAnsi="Times New Roman" w:cs="Times New Roman"/>
          <w:sz w:val="28"/>
          <w:szCs w:val="28"/>
        </w:rPr>
        <w:t>нормы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>, которые противоречат требования</w:t>
      </w:r>
      <w:r w:rsidRPr="00B605BF">
        <w:rPr>
          <w:rFonts w:ascii="Times New Roman" w:eastAsia="Calibri" w:hAnsi="Times New Roman" w:cs="Times New Roman"/>
          <w:sz w:val="28"/>
          <w:szCs w:val="28"/>
        </w:rPr>
        <w:t>м действующего законодательства</w:t>
      </w:r>
      <w:r w:rsidR="00FF5A78" w:rsidRPr="00B605B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605BF" w:rsidRPr="00B605BF" w:rsidRDefault="00FF5A78" w:rsidP="008A1691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5BF">
        <w:rPr>
          <w:rFonts w:ascii="Times New Roman" w:eastAsia="Calibri" w:hAnsi="Times New Roman" w:cs="Times New Roman"/>
          <w:sz w:val="28"/>
          <w:szCs w:val="28"/>
        </w:rPr>
        <w:t>не установлен</w:t>
      </w:r>
      <w:r w:rsidR="00B605BF" w:rsidRPr="00B605BF">
        <w:rPr>
          <w:rFonts w:ascii="Times New Roman" w:eastAsia="Calibri" w:hAnsi="Times New Roman" w:cs="Times New Roman"/>
          <w:sz w:val="28"/>
          <w:szCs w:val="28"/>
        </w:rPr>
        <w:t>ы</w:t>
      </w:r>
      <w:r w:rsidRPr="00B605BF">
        <w:rPr>
          <w:rFonts w:ascii="Times New Roman" w:eastAsia="Calibri" w:hAnsi="Times New Roman" w:cs="Times New Roman"/>
          <w:sz w:val="28"/>
          <w:szCs w:val="28"/>
        </w:rPr>
        <w:t xml:space="preserve"> размер</w:t>
      </w:r>
      <w:r w:rsidR="00B605BF" w:rsidRPr="00B605BF">
        <w:rPr>
          <w:rFonts w:ascii="Times New Roman" w:eastAsia="Calibri" w:hAnsi="Times New Roman" w:cs="Times New Roman"/>
          <w:sz w:val="28"/>
          <w:szCs w:val="28"/>
        </w:rPr>
        <w:t>ы</w:t>
      </w:r>
      <w:r w:rsidRPr="00B605BF">
        <w:rPr>
          <w:rFonts w:ascii="Times New Roman" w:eastAsia="Calibri" w:hAnsi="Times New Roman" w:cs="Times New Roman"/>
          <w:sz w:val="28"/>
          <w:szCs w:val="28"/>
        </w:rPr>
        <w:t xml:space="preserve"> и поряд</w:t>
      </w:r>
      <w:r w:rsidR="00B605BF" w:rsidRPr="00B605BF">
        <w:rPr>
          <w:rFonts w:ascii="Times New Roman" w:eastAsia="Calibri" w:hAnsi="Times New Roman" w:cs="Times New Roman"/>
          <w:sz w:val="28"/>
          <w:szCs w:val="28"/>
        </w:rPr>
        <w:t>о</w:t>
      </w:r>
      <w:r w:rsidRPr="00B605BF">
        <w:rPr>
          <w:rFonts w:ascii="Times New Roman" w:eastAsia="Calibri" w:hAnsi="Times New Roman" w:cs="Times New Roman"/>
          <w:sz w:val="28"/>
          <w:szCs w:val="28"/>
        </w:rPr>
        <w:t>к выплаты надбавок и доплат стиму</w:t>
      </w:r>
      <w:r w:rsidR="00B605BF" w:rsidRPr="00B605BF">
        <w:rPr>
          <w:rFonts w:ascii="Times New Roman" w:eastAsia="Calibri" w:hAnsi="Times New Roman" w:cs="Times New Roman"/>
          <w:sz w:val="28"/>
          <w:szCs w:val="28"/>
        </w:rPr>
        <w:t>лирующего характера работникам о</w:t>
      </w:r>
      <w:r w:rsidR="00B605BF">
        <w:rPr>
          <w:rFonts w:ascii="Times New Roman" w:eastAsia="Calibri" w:hAnsi="Times New Roman" w:cs="Times New Roman"/>
          <w:sz w:val="28"/>
          <w:szCs w:val="28"/>
        </w:rPr>
        <w:t>бщества;</w:t>
      </w:r>
    </w:p>
    <w:p w:rsidR="00FF5A78" w:rsidRPr="00B605BF" w:rsidRDefault="00FF5A78" w:rsidP="008A1691">
      <w:pPr>
        <w:pStyle w:val="a8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замечание в части применения в расчетных листках видов начислений, не соответствующих видам начислений, утвержденных </w:t>
      </w:r>
      <w:r w:rsidR="00B605BF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оложением об оп</w:t>
      </w:r>
      <w:r w:rsidR="00B605BF"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лате труда, трудовым договором р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 Общества.</w:t>
      </w:r>
    </w:p>
    <w:p w:rsidR="00FF5A78" w:rsidRPr="00B605BF" w:rsidRDefault="00FF5A78" w:rsidP="00B358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выявлено нарушений на сумму 37 295,48 тыс. рублей, в том числе:</w:t>
      </w:r>
    </w:p>
    <w:p w:rsidR="00FF5A78" w:rsidRPr="00B605BF" w:rsidRDefault="00FF5A78" w:rsidP="00FF5A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необоснованные прочие доходы………………………… 9 301,47 тыс. рублей,</w:t>
      </w:r>
    </w:p>
    <w:p w:rsidR="00FF5A78" w:rsidRPr="00B605BF" w:rsidRDefault="00FF5A78" w:rsidP="00FF5A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необоснованные коммерческие расходы</w:t>
      </w:r>
    </w:p>
    <w:p w:rsidR="00FF5A78" w:rsidRPr="00B605BF" w:rsidRDefault="00FF5A78" w:rsidP="00FF5A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бухгалтерском и налоговом учете……………….... 7 993,40 тыс. рублей, </w:t>
      </w:r>
    </w:p>
    <w:p w:rsidR="00FF5A78" w:rsidRPr="00B605BF" w:rsidRDefault="00FF5A78" w:rsidP="00FF5A7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неправомерные коммерческие расходы…………….. 4 042,91</w:t>
      </w:r>
      <w:r w:rsidRPr="00B60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:rsidR="00FF5A78" w:rsidRPr="00B605BF" w:rsidRDefault="00FF5A78" w:rsidP="00FF5A7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605B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прочие нарушения……………………………………… 15 957,70 тыс. рублей.</w:t>
      </w:r>
    </w:p>
    <w:p w:rsidR="004C1C80" w:rsidRDefault="004C1C80" w:rsidP="004C1C80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го мероприятия направлены отчет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Председателю Думы города и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представление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Главе города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FF5A78" w:rsidRPr="00FF5A78" w:rsidRDefault="00FF5A78" w:rsidP="00FF5A7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F5A78" w:rsidRDefault="00FF5A78" w:rsidP="00B819A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5BF" w:rsidRPr="000A0C3E" w:rsidRDefault="00B605BF" w:rsidP="00B7541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организации отдыха и оздоровления детей и молодежи в 2016 году и истекшем периоде 2017 года (по отдельным вопросам)</w:t>
      </w:r>
    </w:p>
    <w:p w:rsidR="00B605BF" w:rsidRDefault="00B605BF" w:rsidP="00B819AB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5BF" w:rsidRDefault="00B605BF" w:rsidP="00B605BF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5BF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контрольного мероприятия </w:t>
      </w:r>
      <w:r w:rsidRPr="00B605BF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 xml:space="preserve"> нижеследующее.</w:t>
      </w:r>
    </w:p>
    <w:p w:rsidR="00B605BF" w:rsidRPr="00B605BF" w:rsidRDefault="00B605BF" w:rsidP="008A1691">
      <w:pPr>
        <w:pStyle w:val="a8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605BF">
        <w:rPr>
          <w:rFonts w:ascii="Times New Roman" w:hAnsi="Times New Roman" w:cs="Times New Roman"/>
          <w:sz w:val="28"/>
          <w:szCs w:val="28"/>
        </w:rPr>
        <w:t xml:space="preserve">амечания в части закрепления и распределения полномочий по организации </w:t>
      </w:r>
      <w:r w:rsidRPr="00B60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отдыха детей и молодежи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учреждением и структурным подразделени</w:t>
      </w:r>
      <w:r w:rsidR="00155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города;</w:t>
      </w:r>
    </w:p>
    <w:p w:rsidR="0015599F" w:rsidRPr="005D1B80" w:rsidRDefault="0015599F" w:rsidP="008A1691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в части установления основного вида деятельности МАУ «Молодежный центр» в качестве дополнительного,</w:t>
      </w:r>
      <w:r w:rsidRPr="005D1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605BF" w:rsidRPr="005D1B80">
        <w:rPr>
          <w:rFonts w:ascii="Times New Roman" w:hAnsi="Times New Roman" w:cs="Times New Roman"/>
          <w:sz w:val="28"/>
          <w:szCs w:val="28"/>
        </w:rPr>
        <w:t>в том числе приносящ</w:t>
      </w:r>
      <w:r w:rsidRPr="005D1B80">
        <w:rPr>
          <w:rFonts w:ascii="Times New Roman" w:hAnsi="Times New Roman" w:cs="Times New Roman"/>
          <w:sz w:val="28"/>
          <w:szCs w:val="28"/>
        </w:rPr>
        <w:t>его доход;</w:t>
      </w:r>
    </w:p>
    <w:p w:rsidR="0015599F" w:rsidRPr="005D1B80" w:rsidRDefault="0015599F" w:rsidP="008A1691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80">
        <w:rPr>
          <w:rFonts w:ascii="Times New Roman" w:hAnsi="Times New Roman" w:cs="Times New Roman"/>
          <w:sz w:val="28"/>
          <w:szCs w:val="28"/>
        </w:rPr>
        <w:t>установлено</w:t>
      </w:r>
      <w:r w:rsidR="00B605BF" w:rsidRPr="005D1B80">
        <w:rPr>
          <w:rFonts w:ascii="Times New Roman" w:hAnsi="Times New Roman" w:cs="Times New Roman"/>
          <w:sz w:val="28"/>
          <w:szCs w:val="28"/>
        </w:rPr>
        <w:t xml:space="preserve"> отсутствие в проверяемом периоде необходимого решения Думы города о разрешении дополнительного использования администрацией города собственных материальных ресурсов и (или) финансовых средств для осуществления переданных отдел</w:t>
      </w:r>
      <w:r w:rsidRPr="005D1B80">
        <w:rPr>
          <w:rFonts w:ascii="Times New Roman" w:hAnsi="Times New Roman" w:cs="Times New Roman"/>
          <w:sz w:val="28"/>
          <w:szCs w:val="28"/>
        </w:rPr>
        <w:t>ьных государственных полномочий;</w:t>
      </w:r>
    </w:p>
    <w:p w:rsidR="0015599F" w:rsidRPr="005D1B80" w:rsidRDefault="00B605BF" w:rsidP="008A1691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80">
        <w:rPr>
          <w:rFonts w:ascii="Times New Roman" w:hAnsi="Times New Roman" w:cs="Times New Roman"/>
          <w:sz w:val="28"/>
          <w:szCs w:val="28"/>
        </w:rPr>
        <w:t>несмотря на то что, одно из направлений субвенции из автономного округа является страхование детей в период следования к месту отдыха и оздоровления и обратно, указный вид расходов фактически осуществляется родителями</w:t>
      </w:r>
      <w:r w:rsidR="005D1B80">
        <w:rPr>
          <w:rFonts w:ascii="Times New Roman" w:hAnsi="Times New Roman" w:cs="Times New Roman"/>
          <w:sz w:val="28"/>
          <w:szCs w:val="28"/>
        </w:rPr>
        <w:t>;</w:t>
      </w:r>
      <w:r w:rsidRPr="005D1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5BF" w:rsidRPr="005D1B80" w:rsidRDefault="00B605BF" w:rsidP="008A1691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80">
        <w:rPr>
          <w:rFonts w:ascii="Times New Roman" w:hAnsi="Times New Roman" w:cs="Times New Roman"/>
          <w:sz w:val="28"/>
          <w:szCs w:val="28"/>
        </w:rPr>
        <w:t>вся сумма выделенной из бюджета округа субвенции была направлена в проверяемом периоде исключительно на приобретение путевок</w:t>
      </w:r>
      <w:r w:rsidR="0015599F" w:rsidRPr="005D1B80">
        <w:rPr>
          <w:rFonts w:ascii="Times New Roman" w:hAnsi="Times New Roman" w:cs="Times New Roman"/>
          <w:sz w:val="28"/>
          <w:szCs w:val="28"/>
        </w:rPr>
        <w:t>, п</w:t>
      </w:r>
      <w:r w:rsidRPr="005D1B80">
        <w:rPr>
          <w:rFonts w:ascii="Times New Roman" w:hAnsi="Times New Roman" w:cs="Times New Roman"/>
          <w:sz w:val="28"/>
          <w:szCs w:val="28"/>
        </w:rPr>
        <w:t>ри этом ни на страхование детей, ни на обеспечение оплаты стоимости услуг сопровождающих, средст</w:t>
      </w:r>
      <w:r w:rsidR="0015599F" w:rsidRPr="005D1B80">
        <w:rPr>
          <w:rFonts w:ascii="Times New Roman" w:hAnsi="Times New Roman" w:cs="Times New Roman"/>
          <w:sz w:val="28"/>
          <w:szCs w:val="28"/>
        </w:rPr>
        <w:t>ва субвенции направлены не были;</w:t>
      </w:r>
    </w:p>
    <w:p w:rsidR="0015599F" w:rsidRPr="005D1B80" w:rsidRDefault="0015599F" w:rsidP="008A1691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80">
        <w:rPr>
          <w:rFonts w:ascii="Times New Roman" w:hAnsi="Times New Roman" w:cs="Times New Roman"/>
          <w:sz w:val="28"/>
          <w:szCs w:val="28"/>
        </w:rPr>
        <w:t>установлены нарушения при осуществлении закупок и исполнении контрактов;</w:t>
      </w:r>
    </w:p>
    <w:p w:rsidR="00B605BF" w:rsidRPr="005D1B80" w:rsidRDefault="00B605BF" w:rsidP="008A1691">
      <w:pPr>
        <w:pStyle w:val="a8"/>
        <w:numPr>
          <w:ilvl w:val="0"/>
          <w:numId w:val="11"/>
        </w:numPr>
        <w:spacing w:after="1" w:line="220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 w:rsidR="0015599F"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 </w:t>
      </w: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 w:rsidR="0015599F"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путевок на общую сумму 67,20 тыс. рублей конкретным лицам, без соблюдения требования об очередности их предоставления, а также без участия уполномоченной н</w:t>
      </w:r>
      <w:r w:rsidR="0015599F"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а их предоставление организации;</w:t>
      </w:r>
    </w:p>
    <w:p w:rsidR="0015599F" w:rsidRPr="005D1B80" w:rsidRDefault="0015599F" w:rsidP="008A1691">
      <w:pPr>
        <w:pStyle w:val="a8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несоответствие 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Pr="005D1B80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</w:rPr>
        <w:t xml:space="preserve"> задани</w:t>
      </w:r>
      <w:r w:rsidRPr="005D1B8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</w:rPr>
        <w:t xml:space="preserve"> на 2016 год и </w:t>
      </w:r>
      <w:r w:rsidRPr="005D1B8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</w:rPr>
        <w:t xml:space="preserve">2017 год в части оказания муниципальной услуги «Организация отдыха детей и молодежи» </w:t>
      </w:r>
      <w:r w:rsidRPr="005D1B80">
        <w:rPr>
          <w:rFonts w:ascii="Times New Roman" w:eastAsia="Times New Roman" w:hAnsi="Times New Roman" w:cs="Times New Roman"/>
          <w:sz w:val="28"/>
          <w:szCs w:val="28"/>
        </w:rPr>
        <w:t>установленным требованиям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</w:rPr>
        <w:t xml:space="preserve"> формирования, финансового обеспечения выполнения муниципального задания на оказание муниципальных услуг (выполнение работ) муниципальными учреждениями города Нижневартовска</w:t>
      </w:r>
      <w:r w:rsidRPr="005D1B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05BF" w:rsidRPr="005D1B80" w:rsidRDefault="0015599F" w:rsidP="008A1691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установлены замечания и нарушения в части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установленного муниципальным правовым актом размера родительской платы за 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приобретенные за счет субвенций автономного округа путевки,</w:t>
      </w:r>
      <w:r w:rsid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порядка ее поступления;</w:t>
      </w:r>
    </w:p>
    <w:p w:rsidR="00B605BF" w:rsidRPr="005D1B80" w:rsidRDefault="0015599F" w:rsidP="008A1691">
      <w:pPr>
        <w:pStyle w:val="a8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="00B605BF" w:rsidRPr="005D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ненадлежащее выполнение </w:t>
      </w:r>
      <w:r w:rsidRPr="005D1B80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B605BF" w:rsidRPr="005D1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правлением по социальной и молодежной политике в 2016 году своих обязанностей по администрированию родительской платы за предоставленные путевки в оздоровительные учреждения, в результате </w:t>
      </w:r>
      <w:r w:rsidR="00B605BF" w:rsidRPr="005D1B80">
        <w:rPr>
          <w:rFonts w:ascii="Times New Roman" w:hAnsi="Times New Roman" w:cs="Times New Roman"/>
          <w:bCs/>
          <w:sz w:val="28"/>
          <w:szCs w:val="28"/>
        </w:rPr>
        <w:t>в 2016 году родительская плата, поступившая на лицевой счет Управления по социальной и молодежной политике в сумме 3 859,30 тыс. рублей  не поступила в бюджет города как соответствующий доходный источник</w:t>
      </w:r>
      <w:r w:rsidR="00B605BF" w:rsidRPr="005D1B80">
        <w:rPr>
          <w:rFonts w:ascii="Times New Roman" w:hAnsi="Times New Roman" w:cs="Times New Roman"/>
          <w:sz w:val="28"/>
          <w:szCs w:val="28"/>
        </w:rPr>
        <w:t>;</w:t>
      </w:r>
    </w:p>
    <w:p w:rsidR="00B605BF" w:rsidRPr="005D1B80" w:rsidRDefault="005D1B80" w:rsidP="008A1691">
      <w:pPr>
        <w:pStyle w:val="a8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D1B80">
        <w:rPr>
          <w:rFonts w:ascii="Times New Roman" w:hAnsi="Times New Roman" w:cs="Times New Roman"/>
          <w:sz w:val="28"/>
          <w:szCs w:val="28"/>
        </w:rPr>
        <w:t>установлены нарушения и замечания при фактической</w:t>
      </w:r>
      <w:r w:rsidRPr="005D1B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5BF"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проезда детей до места отдыха и </w:t>
      </w: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обратно.</w:t>
      </w:r>
    </w:p>
    <w:p w:rsidR="00B605BF" w:rsidRPr="00B605BF" w:rsidRDefault="00B605BF" w:rsidP="00B605BF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8DB3E2" w:themeColor="text2" w:themeTint="66"/>
          <w:sz w:val="28"/>
          <w:szCs w:val="28"/>
          <w:lang w:eastAsia="ru-RU"/>
        </w:rPr>
      </w:pPr>
    </w:p>
    <w:p w:rsidR="00B605BF" w:rsidRPr="005D1B80" w:rsidRDefault="00B605BF" w:rsidP="005D1B80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выявлено нарушений  на сумму 5 599,56 тыс. рублей, в том числе:  </w:t>
      </w:r>
    </w:p>
    <w:p w:rsidR="00B605BF" w:rsidRPr="005D1B80" w:rsidRDefault="00B605BF" w:rsidP="00B605B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необоснованные расходы                                                    11,67    тыс. рублей;</w:t>
      </w:r>
    </w:p>
    <w:p w:rsidR="00B605BF" w:rsidRPr="005D1B80" w:rsidRDefault="00B605BF" w:rsidP="00B605B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недоплата                                    </w:t>
      </w: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0,14 тыс. рублей;</w:t>
      </w:r>
    </w:p>
    <w:p w:rsidR="00B605BF" w:rsidRPr="005D1B80" w:rsidRDefault="00B605BF" w:rsidP="00B605BF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                                                                          5 587,75 тыс. рублей.</w:t>
      </w:r>
    </w:p>
    <w:p w:rsidR="00B7541F" w:rsidRDefault="00B7541F" w:rsidP="00B7541F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 итогам контрольно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го мероприятия направлены отчет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Председателю Думы города и 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представление</w:t>
      </w:r>
      <w:r w:rsidRPr="000A0C3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Главе города для рассмотрения и устранения выявленных фактов замечаний и нарушений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B7541F" w:rsidRPr="00FF5A78" w:rsidRDefault="00B7541F" w:rsidP="00B7541F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605BF" w:rsidRDefault="00B605BF" w:rsidP="00B7541F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1B80" w:rsidRPr="00C62D2F" w:rsidRDefault="005D1B80" w:rsidP="00B7541F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C62D2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 города Нижневартовска детский сад № 4 «Сказка» и неработающих членов их семей, за 11 месяцев 2017 года»</w:t>
      </w:r>
    </w:p>
    <w:p w:rsidR="005D1B80" w:rsidRPr="005D1B80" w:rsidRDefault="005D1B80" w:rsidP="00B7541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D1B80" w:rsidRPr="005D1B80" w:rsidRDefault="005D1B80" w:rsidP="005D1B8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нижеследующее.</w:t>
      </w:r>
    </w:p>
    <w:p w:rsidR="005D1B80" w:rsidRPr="005D1B80" w:rsidRDefault="005D1B80" w:rsidP="008A1691">
      <w:pPr>
        <w:pStyle w:val="a8"/>
        <w:numPr>
          <w:ilvl w:val="0"/>
          <w:numId w:val="1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 ряд замечаний и противоречий в Положении о размере, условиях и порядке компенсации расходов на оплату стоимости проезда и провоза багажа к месту использования отпуска и обратно работникам муниципальных учреждений города Нижневартовска, администрации города Нижневартовска, утвержденном постановлением Администрации города Нижневартовска от 13.04.2011 № 371;</w:t>
      </w:r>
    </w:p>
    <w:p w:rsidR="005D1B80" w:rsidRPr="005D1B80" w:rsidRDefault="005D1B80" w:rsidP="008A1691">
      <w:pPr>
        <w:pStyle w:val="a8"/>
        <w:numPr>
          <w:ilvl w:val="0"/>
          <w:numId w:val="1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учреждени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ем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принят локальный акт, за пределами вопросов, отнесенных к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его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компетенции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5D1B80" w:rsidRPr="005D1B80" w:rsidRDefault="005D1B80" w:rsidP="008A1691">
      <w:pPr>
        <w:pStyle w:val="a8"/>
        <w:numPr>
          <w:ilvl w:val="0"/>
          <w:numId w:val="1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установлено замечание в части установления направления расходования целевой субсидии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;</w:t>
      </w:r>
    </w:p>
    <w:p w:rsidR="005D1B80" w:rsidRPr="005D1B80" w:rsidRDefault="005D1B80" w:rsidP="008A1691">
      <w:pPr>
        <w:pStyle w:val="a8"/>
        <w:numPr>
          <w:ilvl w:val="0"/>
          <w:numId w:val="1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установлены нарушения сроков предоставления </w:t>
      </w:r>
      <w:r w:rsidRPr="005D1B80">
        <w:rPr>
          <w:rFonts w:ascii="Times New Roman" w:eastAsia="Calibri" w:hAnsi="Times New Roman" w:cs="Times New Roman"/>
          <w:sz w:val="28"/>
          <w:szCs w:val="28"/>
        </w:rPr>
        <w:t>авансовых отчетов работниками</w:t>
      </w:r>
      <w:r w:rsidRPr="005D1B8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несоблюдения сроков </w:t>
      </w:r>
      <w:r w:rsidRPr="005D1B80">
        <w:rPr>
          <w:rFonts w:ascii="Times New Roman" w:eastAsia="Calibri" w:hAnsi="Times New Roman" w:cs="Times New Roman"/>
          <w:sz w:val="28"/>
          <w:szCs w:val="28"/>
        </w:rPr>
        <w:t>возврата остатка неизрасходованных средств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5D1B80" w:rsidRPr="005D1B80" w:rsidRDefault="005D1B80" w:rsidP="008A1691">
      <w:pPr>
        <w:pStyle w:val="a8"/>
        <w:numPr>
          <w:ilvl w:val="0"/>
          <w:numId w:val="12"/>
        </w:numPr>
        <w:tabs>
          <w:tab w:val="left" w:pos="851"/>
        </w:tabs>
        <w:spacing w:before="120" w:after="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установлены нарушения при непосредственном расчете осуществлении </w:t>
      </w:r>
      <w:r w:rsidRPr="005D1B80">
        <w:rPr>
          <w:rFonts w:ascii="Times New Roman" w:eastAsia="Calibri" w:hAnsi="Times New Roman" w:cs="Times New Roman"/>
          <w:sz w:val="28"/>
          <w:szCs w:val="28"/>
        </w:rPr>
        <w:t>компенсации расходов на льготный проезд.</w:t>
      </w:r>
    </w:p>
    <w:p w:rsidR="00B7541F" w:rsidRPr="00B7541F" w:rsidRDefault="00B7541F" w:rsidP="00B754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нарушений.</w:t>
      </w:r>
    </w:p>
    <w:p w:rsidR="00B605BF" w:rsidRDefault="00B605BF" w:rsidP="00B7541F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2B" w:rsidRPr="00C62D2F" w:rsidRDefault="0024632B" w:rsidP="00B7541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МАДОУ города Нижневартовска детский сад № 45 «Искорка» и неработающих членов их семей, за 11 месяцев 2017 года</w:t>
      </w:r>
    </w:p>
    <w:p w:rsidR="0024632B" w:rsidRPr="0024632B" w:rsidRDefault="0024632B" w:rsidP="00B7541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5D1B80" w:rsidRPr="005D1B80" w:rsidRDefault="005D1B80" w:rsidP="005D1B80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нижеследующее.</w:t>
      </w:r>
    </w:p>
    <w:p w:rsidR="005D1B80" w:rsidRPr="005D1B80" w:rsidRDefault="005D1B80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 ряд замечаний и противоречий в Положении о размере, условиях и порядке компенсации расходов на оплату стоимости проезда и провоза багажа к месту использования отпуска и обратно работникам муниципальных учреждений города Нижневартовска, администрации города Нижневартовска, утвержденном постановлением Администрации города Нижневартовска от 13.04.2011 № 371;</w:t>
      </w:r>
    </w:p>
    <w:p w:rsidR="005D1B80" w:rsidRPr="005D1B80" w:rsidRDefault="005D1B80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учреждением принят локальный акт, за пределами вопросов, отнесенных к его компетенции; </w:t>
      </w:r>
    </w:p>
    <w:p w:rsidR="0024632B" w:rsidRPr="005D1B80" w:rsidRDefault="0024632B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нарушение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части </w:t>
      </w:r>
      <w:r w:rsidRPr="002463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начисления страховых взносов на суммы компенсации расходов на оплату стоимости проезда и провоза багажа к месту использования отпуска и обратно неработающим членам его семьи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замечание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части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установления направления расходования целевой субсидии;</w:t>
      </w:r>
    </w:p>
    <w:p w:rsidR="005D1B80" w:rsidRPr="0024632B" w:rsidRDefault="005D1B80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установлены нарушения при непосредственном расчете осуществлении </w:t>
      </w:r>
      <w:r w:rsidRPr="005D1B80">
        <w:rPr>
          <w:rFonts w:ascii="Times New Roman" w:eastAsia="Calibri" w:hAnsi="Times New Roman" w:cs="Times New Roman"/>
          <w:sz w:val="28"/>
          <w:szCs w:val="28"/>
        </w:rPr>
        <w:t>компенсации расходов на льготный проезд.</w:t>
      </w:r>
    </w:p>
    <w:p w:rsidR="00B7541F" w:rsidRPr="00B7541F" w:rsidRDefault="00B7541F" w:rsidP="00B7541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B7541F">
        <w:rPr>
          <w:rFonts w:ascii="Times New Roman" w:eastAsia="Calibri" w:hAnsi="Times New Roman" w:cs="Times New Roman"/>
          <w:sz w:val="28"/>
          <w:szCs w:val="28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нарушений.</w:t>
      </w:r>
    </w:p>
    <w:p w:rsidR="0024632B" w:rsidRDefault="0024632B" w:rsidP="0024632B">
      <w:pPr>
        <w:tabs>
          <w:tab w:val="left" w:pos="851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5A78" w:rsidRPr="00C62D2F" w:rsidRDefault="0024632B" w:rsidP="00B7541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МБДОУ города Нижневартовска детский сад № 54 «Катюша» и неработающих членов их семей, за 11 месяцев 2017 года</w:t>
      </w:r>
    </w:p>
    <w:p w:rsidR="0024632B" w:rsidRDefault="0024632B" w:rsidP="00B7541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32B" w:rsidRPr="005D1B80" w:rsidRDefault="0024632B" w:rsidP="0024632B">
      <w:pPr>
        <w:spacing w:after="0" w:line="240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D1B80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нижеследующее.</w:t>
      </w:r>
    </w:p>
    <w:p w:rsidR="0024632B" w:rsidRPr="005D1B80" w:rsidRDefault="0024632B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 ряд замечаний и противоречий в Положении о размере, условиях и порядке компенсации расходов на оплату стоимости проезда и провоза багажа к месту использования отпуска и обратно работникам муниципальных учреждений города Нижневартовска, администрации города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Нижневартовска, утвержденном постановлением Администрации города Нижневартовска от 13.04.2011 № 371;</w:t>
      </w:r>
    </w:p>
    <w:p w:rsidR="0024632B" w:rsidRPr="005D1B80" w:rsidRDefault="0024632B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учреждением принят локальный акт, за пределами вопросов, отнесенных к его компетенции; </w:t>
      </w:r>
    </w:p>
    <w:p w:rsidR="0024632B" w:rsidRPr="005D1B80" w:rsidRDefault="0024632B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установлено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нарушение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части </w:t>
      </w:r>
      <w:r w:rsidRPr="0024632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начисления страховых взносов на суммы компенсации расходов на оплату стоимости проезда и провоза багажа к месту использования отпуска и обратно неработающим членам его семьи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а также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замечание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части </w:t>
      </w: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установления направления расходования целевой субсидии;</w:t>
      </w:r>
    </w:p>
    <w:p w:rsidR="0024632B" w:rsidRPr="005D1B80" w:rsidRDefault="0024632B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4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расчетах с подотчетными лицами установлены </w:t>
      </w:r>
      <w:r w:rsidRPr="0024632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замечания и противоречия в условиях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46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четной политики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учреждения;</w:t>
      </w:r>
    </w:p>
    <w:p w:rsidR="0024632B" w:rsidRPr="0024632B" w:rsidRDefault="0024632B" w:rsidP="008A1691">
      <w:pPr>
        <w:numPr>
          <w:ilvl w:val="0"/>
          <w:numId w:val="13"/>
        </w:numPr>
        <w:tabs>
          <w:tab w:val="left" w:pos="851"/>
        </w:tabs>
        <w:spacing w:before="120"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5D1B80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установлены нарушения при непосредственном расчете осуществлении </w:t>
      </w:r>
      <w:r w:rsidRPr="005D1B80">
        <w:rPr>
          <w:rFonts w:ascii="Times New Roman" w:eastAsia="Calibri" w:hAnsi="Times New Roman" w:cs="Times New Roman"/>
          <w:sz w:val="28"/>
          <w:szCs w:val="28"/>
        </w:rPr>
        <w:t>компенсации расходов на льготный проезд.</w:t>
      </w:r>
    </w:p>
    <w:p w:rsidR="00B7541F" w:rsidRPr="00B7541F" w:rsidRDefault="00B7541F" w:rsidP="00B754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нарушений.</w:t>
      </w:r>
    </w:p>
    <w:p w:rsidR="006438D3" w:rsidRPr="00B7541F" w:rsidRDefault="00B7541F" w:rsidP="00B7541F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91473" w:rsidRPr="00B7541F">
        <w:rPr>
          <w:rFonts w:ascii="Times New Roman" w:hAnsi="Times New Roman" w:cs="Times New Roman"/>
          <w:sz w:val="28"/>
          <w:szCs w:val="28"/>
        </w:rPr>
        <w:t>В отчетном периоде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191473" w:rsidRPr="00B7541F">
        <w:rPr>
          <w:rFonts w:ascii="Times New Roman" w:hAnsi="Times New Roman" w:cs="Times New Roman"/>
          <w:sz w:val="28"/>
          <w:szCs w:val="28"/>
        </w:rPr>
        <w:t xml:space="preserve"> с учетом обращений органов прокуратуры</w:t>
      </w:r>
      <w:r w:rsidRPr="00B754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города, </w:t>
      </w:r>
      <w:r w:rsidRPr="00B7541F">
        <w:rPr>
          <w:rFonts w:ascii="Times New Roman" w:hAnsi="Times New Roman" w:cs="Times New Roman"/>
          <w:sz w:val="28"/>
          <w:szCs w:val="28"/>
        </w:rPr>
        <w:t>палатой</w:t>
      </w:r>
      <w:r w:rsidR="00191473" w:rsidRPr="00B7541F">
        <w:rPr>
          <w:rFonts w:ascii="Times New Roman" w:hAnsi="Times New Roman" w:cs="Times New Roman"/>
          <w:sz w:val="28"/>
          <w:szCs w:val="28"/>
        </w:rPr>
        <w:t xml:space="preserve"> </w:t>
      </w:r>
      <w:r w:rsidRPr="00B7541F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191473" w:rsidRPr="00B7541F">
        <w:rPr>
          <w:rFonts w:ascii="Times New Roman" w:hAnsi="Times New Roman" w:cs="Times New Roman"/>
          <w:sz w:val="28"/>
          <w:szCs w:val="28"/>
        </w:rPr>
        <w:t xml:space="preserve"> </w:t>
      </w:r>
      <w:r w:rsidR="006438D3" w:rsidRPr="00B7541F">
        <w:rPr>
          <w:rFonts w:ascii="Times New Roman" w:hAnsi="Times New Roman" w:cs="Times New Roman"/>
          <w:sz w:val="28"/>
          <w:szCs w:val="28"/>
        </w:rPr>
        <w:t>7</w:t>
      </w:r>
      <w:r w:rsidR="00191473" w:rsidRPr="00B7541F">
        <w:rPr>
          <w:rFonts w:ascii="Times New Roman" w:hAnsi="Times New Roman" w:cs="Times New Roman"/>
          <w:sz w:val="28"/>
          <w:szCs w:val="28"/>
        </w:rPr>
        <w:t xml:space="preserve"> контрольных мероприятий</w:t>
      </w:r>
      <w:r w:rsidR="006438D3" w:rsidRPr="00B7541F">
        <w:rPr>
          <w:rFonts w:ascii="Times New Roman" w:hAnsi="Times New Roman" w:cs="Times New Roman"/>
          <w:sz w:val="28"/>
          <w:szCs w:val="28"/>
        </w:rPr>
        <w:t>, в том числе проверки:</w:t>
      </w:r>
    </w:p>
    <w:p w:rsidR="006438D3" w:rsidRPr="00B7541F" w:rsidRDefault="00191473" w:rsidP="008A1691">
      <w:pPr>
        <w:pStyle w:val="Default"/>
        <w:numPr>
          <w:ilvl w:val="0"/>
          <w:numId w:val="27"/>
        </w:numPr>
        <w:rPr>
          <w:rFonts w:eastAsia="Calibri"/>
          <w:bCs/>
          <w:sz w:val="28"/>
          <w:szCs w:val="28"/>
        </w:rPr>
      </w:pPr>
      <w:r w:rsidRPr="00B7541F">
        <w:rPr>
          <w:rFonts w:eastAsia="Calibri"/>
          <w:sz w:val="28"/>
          <w:szCs w:val="28"/>
        </w:rPr>
        <w:t>исполнения</w:t>
      </w:r>
      <w:r w:rsidRPr="00B7541F">
        <w:rPr>
          <w:rFonts w:eastAsia="Calibri"/>
          <w:bCs/>
          <w:sz w:val="28"/>
          <w:szCs w:val="28"/>
        </w:rPr>
        <w:t xml:space="preserve"> муниципальными служащими законодательства о </w:t>
      </w:r>
      <w:r w:rsidR="00B7541F">
        <w:rPr>
          <w:rFonts w:eastAsia="Calibri"/>
          <w:bCs/>
          <w:sz w:val="28"/>
          <w:szCs w:val="28"/>
        </w:rPr>
        <w:t xml:space="preserve">  </w:t>
      </w:r>
      <w:r w:rsidRPr="00B7541F">
        <w:rPr>
          <w:rFonts w:eastAsia="Calibri"/>
          <w:bCs/>
          <w:sz w:val="28"/>
          <w:szCs w:val="28"/>
        </w:rPr>
        <w:t>противодействии коррупции</w:t>
      </w:r>
      <w:r w:rsidR="006438D3" w:rsidRPr="00B7541F">
        <w:rPr>
          <w:rFonts w:eastAsia="Calibri"/>
          <w:bCs/>
          <w:sz w:val="28"/>
          <w:szCs w:val="28"/>
        </w:rPr>
        <w:t>;</w:t>
      </w:r>
    </w:p>
    <w:p w:rsidR="006438D3" w:rsidRPr="00B7541F" w:rsidRDefault="00191473" w:rsidP="008A1691">
      <w:pPr>
        <w:pStyle w:val="Default"/>
        <w:numPr>
          <w:ilvl w:val="0"/>
          <w:numId w:val="27"/>
        </w:numPr>
        <w:rPr>
          <w:rFonts w:eastAsia="Calibri"/>
          <w:bCs/>
          <w:sz w:val="28"/>
          <w:szCs w:val="28"/>
          <w:lang w:eastAsia="ru-RU"/>
        </w:rPr>
      </w:pPr>
      <w:r w:rsidRPr="001D2B9B">
        <w:rPr>
          <w:rFonts w:eastAsia="Calibri"/>
          <w:bCs/>
          <w:sz w:val="28"/>
          <w:szCs w:val="28"/>
          <w:lang w:eastAsia="ru-RU"/>
        </w:rPr>
        <w:t>исполнения руководителями муниципальных учреждений законодательства о противодействии коррупции</w:t>
      </w:r>
      <w:r w:rsidR="006438D3" w:rsidRPr="00B7541F">
        <w:rPr>
          <w:rFonts w:eastAsia="Calibri"/>
          <w:bCs/>
          <w:sz w:val="28"/>
          <w:szCs w:val="28"/>
          <w:lang w:eastAsia="ru-RU"/>
        </w:rPr>
        <w:t>;</w:t>
      </w:r>
    </w:p>
    <w:p w:rsidR="006438D3" w:rsidRPr="00B7541F" w:rsidRDefault="001D2B9B" w:rsidP="008A1691">
      <w:pPr>
        <w:pStyle w:val="Default"/>
        <w:numPr>
          <w:ilvl w:val="0"/>
          <w:numId w:val="27"/>
        </w:numPr>
        <w:rPr>
          <w:bCs/>
          <w:sz w:val="28"/>
          <w:szCs w:val="28"/>
          <w:lang w:eastAsia="ru-RU"/>
        </w:rPr>
      </w:pPr>
      <w:r w:rsidRPr="00B7541F">
        <w:rPr>
          <w:bCs/>
          <w:sz w:val="28"/>
          <w:szCs w:val="28"/>
          <w:lang w:eastAsia="ru-RU"/>
        </w:rPr>
        <w:t>правильности расчета стоимости платных ритуальных услуг</w:t>
      </w:r>
      <w:r w:rsidR="006438D3" w:rsidRPr="00B7541F">
        <w:rPr>
          <w:bCs/>
          <w:sz w:val="28"/>
          <w:szCs w:val="28"/>
          <w:lang w:eastAsia="ru-RU"/>
        </w:rPr>
        <w:t>;</w:t>
      </w:r>
    </w:p>
    <w:p w:rsidR="006438D3" w:rsidRPr="00B7541F" w:rsidRDefault="006438D3" w:rsidP="008A1691">
      <w:pPr>
        <w:pStyle w:val="Default"/>
        <w:numPr>
          <w:ilvl w:val="0"/>
          <w:numId w:val="27"/>
        </w:numPr>
        <w:rPr>
          <w:rFonts w:eastAsia="Calibri"/>
          <w:bCs/>
          <w:color w:val="auto"/>
          <w:sz w:val="28"/>
          <w:szCs w:val="28"/>
        </w:rPr>
      </w:pPr>
      <w:r w:rsidRPr="00B7541F">
        <w:rPr>
          <w:rFonts w:eastAsia="Times New Roman"/>
          <w:bCs/>
          <w:sz w:val="28"/>
          <w:szCs w:val="28"/>
          <w:lang w:eastAsia="ru-RU"/>
        </w:rPr>
        <w:t xml:space="preserve">целевого расходования бюджетных средств  в </w:t>
      </w:r>
      <w:r w:rsidR="00CF30F1" w:rsidRPr="00B7541F">
        <w:rPr>
          <w:rFonts w:eastAsia="Times New Roman"/>
          <w:bCs/>
          <w:sz w:val="28"/>
          <w:szCs w:val="28"/>
          <w:lang w:eastAsia="ru-RU"/>
        </w:rPr>
        <w:t>МБОУ</w:t>
      </w:r>
      <w:r w:rsidRPr="00B7541F">
        <w:rPr>
          <w:rFonts w:eastAsia="Calibri"/>
          <w:color w:val="333333"/>
          <w:sz w:val="28"/>
          <w:szCs w:val="28"/>
        </w:rPr>
        <w:t xml:space="preserve"> "Средняя школа №17"</w:t>
      </w:r>
      <w:r w:rsidRPr="00B7541F">
        <w:rPr>
          <w:rFonts w:eastAsia="Calibri"/>
          <w:bCs/>
          <w:color w:val="auto"/>
          <w:sz w:val="28"/>
          <w:szCs w:val="28"/>
        </w:rPr>
        <w:t>;</w:t>
      </w:r>
    </w:p>
    <w:p w:rsidR="006438D3" w:rsidRPr="00B7541F" w:rsidRDefault="006438D3" w:rsidP="008A1691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754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целевого использования средств  в </w:t>
      </w:r>
      <w:r w:rsidR="00CF30F1" w:rsidRPr="00B7541F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ГАУ</w:t>
      </w:r>
      <w:r w:rsidR="00CF30F1" w:rsidRPr="00B7541F">
        <w:rPr>
          <w:rFonts w:ascii="Times New Roman" w:eastAsia="Calibri" w:hAnsi="Times New Roman" w:cs="Times New Roman"/>
          <w:sz w:val="28"/>
          <w:szCs w:val="28"/>
        </w:rPr>
        <w:t xml:space="preserve"> Ханты-Мансийского автономного</w:t>
      </w:r>
      <w:r w:rsidR="00B7541F" w:rsidRPr="00B754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541F">
        <w:rPr>
          <w:rFonts w:ascii="Times New Roman" w:eastAsia="Calibri" w:hAnsi="Times New Roman" w:cs="Times New Roman"/>
          <w:sz w:val="28"/>
          <w:szCs w:val="28"/>
        </w:rPr>
        <w:t>округа – Югры «Театр кукол «Барабашка»;</w:t>
      </w:r>
    </w:p>
    <w:p w:rsidR="006438D3" w:rsidRPr="00B7541F" w:rsidRDefault="006438D3" w:rsidP="008A1691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7541F">
        <w:rPr>
          <w:rFonts w:ascii="Times New Roman" w:hAnsi="Times New Roman" w:cs="Times New Roman"/>
          <w:bCs/>
          <w:sz w:val="28"/>
          <w:szCs w:val="28"/>
        </w:rPr>
        <w:t>обоснованности  установления стоимости изготовленного ООО «Центр протезирования и реабилитации – «протеза бедра с внешним источником энергии» инвалиду</w:t>
      </w:r>
      <w:r w:rsidR="00CF30F1" w:rsidRPr="00B75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6438D3" w:rsidRPr="00B7541F" w:rsidRDefault="006438D3" w:rsidP="006438D3">
      <w:pPr>
        <w:pStyle w:val="Default"/>
        <w:rPr>
          <w:bCs/>
          <w:sz w:val="28"/>
          <w:szCs w:val="28"/>
          <w:lang w:eastAsia="ru-RU"/>
        </w:rPr>
      </w:pPr>
    </w:p>
    <w:p w:rsidR="006438D3" w:rsidRDefault="006438D3" w:rsidP="006438D3">
      <w:pPr>
        <w:pStyle w:val="Default"/>
        <w:rPr>
          <w:bCs/>
          <w:sz w:val="28"/>
          <w:szCs w:val="28"/>
          <w:lang w:eastAsia="ru-RU"/>
        </w:rPr>
      </w:pPr>
    </w:p>
    <w:p w:rsidR="00DF64CD" w:rsidRDefault="00CF30F1" w:rsidP="006438D3">
      <w:pPr>
        <w:pStyle w:val="Default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              </w:t>
      </w:r>
      <w:r w:rsidR="006F0D13">
        <w:rPr>
          <w:rFonts w:eastAsia="Times New Roman"/>
          <w:b/>
          <w:sz w:val="28"/>
          <w:szCs w:val="28"/>
          <w:lang w:eastAsia="ru-RU"/>
        </w:rPr>
        <w:t>4. Аудит в сфере закупок</w:t>
      </w:r>
    </w:p>
    <w:p w:rsidR="004467B9" w:rsidRDefault="004467B9" w:rsidP="004467B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E7D" w:rsidRPr="00B7541F" w:rsidRDefault="00F47E7D" w:rsidP="00467D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</w:t>
      </w:r>
      <w:r w:rsidR="00B3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</w:t>
      </w:r>
      <w:r w:rsidRPr="00446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-ти контрольных мероприятий было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проверено </w:t>
      </w:r>
      <w:r w:rsidR="00B358E2">
        <w:rPr>
          <w:rFonts w:ascii="Times New Roman" w:eastAsia="Times New Roman" w:hAnsi="Times New Roman" w:cs="Times New Roman"/>
          <w:sz w:val="28"/>
          <w:szCs w:val="28"/>
          <w:lang w:eastAsia="ru-RU"/>
        </w:rPr>
        <w:t>1415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0F77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закупок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</w:t>
      </w:r>
      <w:r w:rsidR="00B3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сумму 730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,6 млн.</w:t>
      </w:r>
      <w:r w:rsidR="00B00E12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FF0F77" w:rsidRPr="00B7541F" w:rsidRDefault="00FF0F77" w:rsidP="00467DB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Проверками установлены </w:t>
      </w:r>
      <w:r w:rsidR="00D16750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</w:t>
      </w:r>
      <w:r w:rsidR="00D16750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41F" w:rsidRPr="00B7541F" w:rsidRDefault="00D16750" w:rsidP="008A1691">
      <w:pPr>
        <w:pStyle w:val="a8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закупочных процедур;</w:t>
      </w:r>
    </w:p>
    <w:p w:rsidR="00D16750" w:rsidRPr="00B7541F" w:rsidRDefault="00D16750" w:rsidP="008A1691">
      <w:pPr>
        <w:pStyle w:val="a8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закупок;</w:t>
      </w:r>
    </w:p>
    <w:p w:rsidR="00D16750" w:rsidRPr="00B7541F" w:rsidRDefault="00D16750" w:rsidP="008A1691">
      <w:pPr>
        <w:pStyle w:val="a8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своевременности, полноты и достоверности размещения информации в ЕИС, в случаях, предусмотренных законом о контрактной системе;</w:t>
      </w:r>
    </w:p>
    <w:p w:rsidR="00D16750" w:rsidRPr="00B7541F" w:rsidRDefault="00D16750" w:rsidP="008A1691">
      <w:pPr>
        <w:pStyle w:val="a8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и исполнения контрактов;</w:t>
      </w:r>
    </w:p>
    <w:p w:rsidR="00D16750" w:rsidRPr="00B7541F" w:rsidRDefault="00D16750" w:rsidP="008A1691">
      <w:pPr>
        <w:pStyle w:val="a8"/>
        <w:numPr>
          <w:ilvl w:val="0"/>
          <w:numId w:val="13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ведомственного контроля за осуществлением закупок.</w:t>
      </w:r>
    </w:p>
    <w:p w:rsidR="00FF0F77" w:rsidRPr="00FF0F77" w:rsidRDefault="004467B9" w:rsidP="009D692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</w:t>
      </w:r>
      <w:r w:rsidR="001F0E54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зультатам проверок установлено </w:t>
      </w:r>
      <w:r w:rsidR="00B358E2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фактов нарушений</w:t>
      </w:r>
      <w:r w:rsidR="00FF0F77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о контрактной систе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 в сфере закупок, из них по </w:t>
      </w:r>
      <w:r w:rsidR="00B358E2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фактам</w:t>
      </w:r>
      <w:r w:rsidR="00FF0F77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выявленных нарушений копии  актов проверок</w:t>
      </w:r>
      <w:r w:rsidR="00FF0F77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необходимых документов переданы в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прокуратуру города Нижневартовска  </w:t>
      </w:r>
      <w:r w:rsidR="00FF0F77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 рассмотрения вопроса о возбуждении дел об административных правонарушениях.</w:t>
      </w:r>
    </w:p>
    <w:p w:rsidR="00FF0F77" w:rsidRPr="00E757C9" w:rsidRDefault="00FF0F77" w:rsidP="00FB7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54" w:rsidRPr="00B70C33" w:rsidRDefault="00B70C33" w:rsidP="00FB7CFB">
      <w:pPr>
        <w:pStyle w:val="a8"/>
        <w:tabs>
          <w:tab w:val="left" w:pos="2410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11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C23FF" w:rsidRPr="00F11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4C54" w:rsidRPr="00F115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Информационная и иная деятельность</w:t>
      </w:r>
    </w:p>
    <w:p w:rsidR="00B70C33" w:rsidRPr="00B70C33" w:rsidRDefault="00B70C33" w:rsidP="00FB7CFB">
      <w:pPr>
        <w:pStyle w:val="a8"/>
        <w:spacing w:after="0" w:line="240" w:lineRule="auto"/>
        <w:ind w:left="7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C54" w:rsidRPr="00CA4C54" w:rsidRDefault="00B93ED5" w:rsidP="009D69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0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счё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палатой продолжена работа по 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106E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открытости деятельности счё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палаты. 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и информация о результатах контрольных и экспертно-аналитических мероп</w:t>
      </w:r>
      <w:r w:rsidR="007C23F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риятий оперативно направлялась г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лаве города, в Думу города, рассматривались на заседаниях 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106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оллегии счё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</w:t>
      </w:r>
      <w:r w:rsidR="00C62D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ED5" w:rsidRDefault="00A14CB1" w:rsidP="009D692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 каналом коммуникации с общественными организац</w:t>
      </w:r>
      <w:r w:rsidR="00FB7CFB">
        <w:rPr>
          <w:rFonts w:ascii="Times New Roman" w:eastAsia="Times New Roman" w:hAnsi="Times New Roman" w:cs="Times New Roman"/>
          <w:sz w:val="28"/>
          <w:szCs w:val="28"/>
          <w:lang w:eastAsia="ru-RU"/>
        </w:rPr>
        <w:t>иями, гражданами, СМИ является страница палаты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web-сайте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местного самоуправления города. В 201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страницу 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палаты посетило </w:t>
      </w:r>
      <w:r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="00B35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8A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E311BC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358E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30F1" w:rsidRPr="00C62D2F" w:rsidRDefault="00CF30F1" w:rsidP="00B7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7541F">
        <w:rPr>
          <w:rFonts w:ascii="Times New Roman" w:hAnsi="Times New Roman" w:cs="Times New Roman"/>
          <w:color w:val="000000"/>
          <w:sz w:val="23"/>
          <w:szCs w:val="23"/>
        </w:rPr>
        <w:t xml:space="preserve">            </w:t>
      </w:r>
      <w:r w:rsidRPr="00B7541F">
        <w:rPr>
          <w:rFonts w:ascii="Times New Roman" w:hAnsi="Times New Roman" w:cs="Times New Roman"/>
          <w:color w:val="000000"/>
          <w:sz w:val="28"/>
          <w:szCs w:val="28"/>
        </w:rPr>
        <w:t xml:space="preserve">В отчетном периоде </w:t>
      </w:r>
      <w:r w:rsidRPr="00C62D2F">
        <w:rPr>
          <w:rFonts w:ascii="Times New Roman" w:hAnsi="Times New Roman" w:cs="Times New Roman"/>
          <w:color w:val="000000"/>
          <w:sz w:val="28"/>
          <w:szCs w:val="28"/>
        </w:rPr>
        <w:t xml:space="preserve"> палата продолжила работу по обеспечению </w:t>
      </w:r>
      <w:r w:rsidRPr="00C62D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обратной связи с населением</w:t>
      </w:r>
      <w:r w:rsidRPr="00C62D2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C62D2F">
        <w:rPr>
          <w:rFonts w:ascii="Times New Roman" w:hAnsi="Times New Roman" w:cs="Times New Roman"/>
          <w:color w:val="000000"/>
          <w:sz w:val="28"/>
          <w:szCs w:val="28"/>
        </w:rPr>
        <w:t xml:space="preserve">в сфере обеспечения контроля наиболее проблемных участков экономики для достижения социально значимых целей. В </w:t>
      </w:r>
      <w:r w:rsidRPr="00B7541F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C62D2F">
        <w:rPr>
          <w:rFonts w:ascii="Times New Roman" w:hAnsi="Times New Roman" w:cs="Times New Roman"/>
          <w:color w:val="000000"/>
          <w:sz w:val="28"/>
          <w:szCs w:val="28"/>
        </w:rPr>
        <w:t xml:space="preserve">четной палате сложилась практика анализа содержащейся в обращениях граждан информации о фактах нарушений бюджетного законодательства и ее последующего использования при планировании контрольных мероприятий или непосредственном проведении плановых проверок, что позволяет совершенствовать бюджетный процесс и бюджетное устройство, внешний аудит муниципальных ресурсов. </w:t>
      </w:r>
    </w:p>
    <w:p w:rsidR="00C770D2" w:rsidRPr="00B7541F" w:rsidRDefault="00CF30F1" w:rsidP="00B754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41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B7541F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62D2F">
        <w:rPr>
          <w:rFonts w:ascii="Times New Roman" w:hAnsi="Times New Roman" w:cs="Times New Roman"/>
          <w:color w:val="000000"/>
          <w:sz w:val="28"/>
          <w:szCs w:val="28"/>
        </w:rPr>
        <w:t>На все поступившие обращения были подготовлены и направлены в установленном законодательством порядке ответы</w:t>
      </w:r>
      <w:r w:rsidR="00C770D2" w:rsidRPr="00B75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существу.</w:t>
      </w:r>
    </w:p>
    <w:p w:rsidR="00CA4C54" w:rsidRPr="00CA4C54" w:rsidRDefault="00B93ED5" w:rsidP="009D692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продолжена работа по стандартизации деятельности палаты. В течение года разработан 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81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тандарт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внешнего муниципального контроля для проведения </w:t>
      </w:r>
      <w:r w:rsidR="00D16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аудита в сфере закупок, а также методические рекомендации </w:t>
      </w:r>
      <w:r w:rsidR="003C5D85" w:rsidRPr="003C5D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выявлению административных правонарушений, ведению административного расследования, составлению и направлению на рассмотрение протоколов об административных правона</w:t>
      </w:r>
      <w:r w:rsidR="00106E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рушениях должностными лицами счё</w:t>
      </w:r>
      <w:r w:rsidR="003C5D85" w:rsidRPr="003C5D8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4C54" w:rsidRPr="00CA4C54" w:rsidRDefault="00CA4C54" w:rsidP="009D6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реализации </w:t>
      </w:r>
      <w:r w:rsidR="003C5D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ационального плана</w:t>
      </w:r>
      <w:r w:rsidR="00106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противодействия коррупции в счё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палате разработан и выполняется комплекс мероприятий, направленных </w:t>
      </w:r>
      <w:r w:rsidRPr="00CA4C54">
        <w:rPr>
          <w:rFonts w:ascii="Times New Roman" w:eastAsia="Calibri" w:hAnsi="Times New Roman" w:cs="Times New Roman"/>
          <w:sz w:val="28"/>
          <w:szCs w:val="28"/>
        </w:rPr>
        <w:t xml:space="preserve">на принятие эффективных мер по предупреждению, выявлению и устранению причин и условий, способствующих возникновению коррупции и конфликта интересов на муниципальной службе, соблюдение муниципальными служащими общих принципов служебного поведения, норм профессиональной этики, обязательств, ограничений и запретов, установленных на муниципальной службе. </w:t>
      </w:r>
    </w:p>
    <w:p w:rsidR="00CA4C54" w:rsidRPr="00CA4C54" w:rsidRDefault="00CA4C54" w:rsidP="009D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Уделено внимание в отчетном периоде и развитию межмуниципального сотрудничества. </w:t>
      </w:r>
      <w:r w:rsidRPr="00CA4C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Более </w:t>
      </w:r>
      <w:r w:rsidR="00B358E2">
        <w:rPr>
          <w:rFonts w:ascii="Times New Roman" w:eastAsia="Calibri" w:hAnsi="Times New Roman" w:cs="Times New Roman"/>
          <w:color w:val="000000"/>
          <w:sz w:val="28"/>
          <w:szCs w:val="28"/>
        </w:rPr>
        <w:t>16</w:t>
      </w:r>
      <w:r w:rsidRPr="00CA4C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лет счетная палата является членом Союза </w:t>
      </w:r>
      <w:r w:rsidR="00106E6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муниципальных контрольно-счётных органов</w:t>
      </w:r>
      <w:r w:rsidRPr="00CA4C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активно взаимодействует с контрольно-счетными органами других муниципальных образований Российской Федерации.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C54" w:rsidRPr="00CA4C54" w:rsidRDefault="00CA4C54" w:rsidP="009D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палатой также продолжалась работа в рамках Совета контрольно-счетных органов Ханты-Мансийского автономного округа-Югры</w:t>
      </w:r>
      <w:r w:rsidR="003C5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4C54" w:rsidRPr="00CA4C54" w:rsidRDefault="00CA4C54" w:rsidP="009D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 предыдущие годы, в отчетном году палата оказывала муниципальным контрольно-счетным органам организационную, правовую, информационную и методическую помощь. </w:t>
      </w:r>
    </w:p>
    <w:p w:rsidR="00CA4C54" w:rsidRPr="00CA4C54" w:rsidRDefault="00CA4C54" w:rsidP="009D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Осуществлены мероприятия по взаимодействию с правоохранительными органами, в частности с прокуратурой города. По ма</w:t>
      </w:r>
      <w:r w:rsidR="00B93ED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териалам проверок палаты за 201</w:t>
      </w:r>
      <w:r w:rsidR="003C5D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прокуратурой города</w:t>
      </w:r>
      <w:r w:rsidRPr="00CA4C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внесены представления об устранении выявленных нарушений законодательства</w:t>
      </w:r>
      <w:r w:rsidR="003C5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</w:t>
      </w:r>
      <w:r w:rsidR="00B00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4C54" w:rsidRPr="00FB7CFB" w:rsidRDefault="00CA4C54" w:rsidP="00FB7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A4C54" w:rsidRPr="00DA3C18" w:rsidRDefault="00CA4C54" w:rsidP="00FB7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C18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Основные задачи на 20</w:t>
      </w:r>
      <w:r w:rsidR="00C62D2F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DA3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CA4C54" w:rsidRPr="00FB7CFB" w:rsidRDefault="00CA4C54" w:rsidP="00FB7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F15E1" w:rsidRDefault="001F15E1" w:rsidP="009D6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</w:t>
      </w:r>
      <w:r w:rsidR="00FB7C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задачей </w:t>
      </w:r>
      <w:r w:rsidR="00106E61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</w:t>
      </w:r>
      <w:r w:rsidR="00FB7CFB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</w:t>
      </w:r>
      <w:r w:rsidR="00CA4C54"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 на планируемый период остается контроль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F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принципов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законности, эффективности и результативности использования бюджетных средств города на всех уровнях и этапах бюджетного процесса.</w:t>
      </w:r>
    </w:p>
    <w:p w:rsidR="001F15E1" w:rsidRDefault="001F15E1" w:rsidP="009D6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Больший упор будет сделан на выявление фактов неэффективного и нерезультативного использования бюджетных средств, а также на выявление системных проблем.</w:t>
      </w:r>
    </w:p>
    <w:p w:rsidR="001F15E1" w:rsidRDefault="00106E61" w:rsidP="009D69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Приоритетными направлениями счё</w:t>
      </w:r>
      <w:r w:rsidR="001F15E1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тной палаты определены:</w:t>
      </w:r>
    </w:p>
    <w:p w:rsidR="00E22A30" w:rsidRPr="007507A6" w:rsidRDefault="00E22A30" w:rsidP="008A1691">
      <w:pPr>
        <w:pStyle w:val="a8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контроля за эффективностью и результативностью использования бюджетных средств;</w:t>
      </w:r>
    </w:p>
    <w:p w:rsidR="00CA4C54" w:rsidRPr="00E36D1D" w:rsidRDefault="00FB7CFB" w:rsidP="008A1691">
      <w:pPr>
        <w:pStyle w:val="a8"/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аудита</w:t>
      </w:r>
      <w:r w:rsidR="00CA4C54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в соотв</w:t>
      </w:r>
      <w:r w:rsidR="007C23FF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 Федеральным законом №</w:t>
      </w:r>
      <w:r w:rsidR="00CA4C54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>44-ФЗ. В рамках контрольн</w:t>
      </w:r>
      <w:r w:rsidR="00E22A3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CA4C54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E22A3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CA4C54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проведен анализ и оценка достижения целей осуществления закупок за счет средств бюджета города; дана оценка законности, целесообразности, обоснованности и своевременности расходов на закупки, результатов закупок, достижен</w:t>
      </w:r>
      <w:r w:rsidR="001F15E1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целей осуществления закупок;</w:t>
      </w:r>
    </w:p>
    <w:p w:rsidR="001F15E1" w:rsidRPr="00E36D1D" w:rsidRDefault="007507A6" w:rsidP="008A1691">
      <w:pPr>
        <w:pStyle w:val="a8"/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усиление контроля за </w:t>
      </w:r>
      <w:r w:rsidR="001F15E1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ией</w:t>
      </w:r>
      <w:r w:rsidR="001F15E1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в различных сферах жизнедеятельности города</w:t>
      </w:r>
      <w:r w:rsidR="006B0ECB" w:rsidRPr="00E36D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223E" w:rsidRDefault="00CA4C54" w:rsidP="007507A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Палатой продолжится работа по </w:t>
      </w:r>
      <w:r w:rsidR="000E53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регламентации</w:t>
      </w:r>
      <w:r w:rsidRPr="00CA4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палаты, в том числе по доработке, апробации и определении порядка применения классификатора нарушений, выявляемых в ходе внешнего муниципального финансового контроля. </w:t>
      </w:r>
    </w:p>
    <w:p w:rsidR="004179C8" w:rsidRDefault="004179C8" w:rsidP="007507A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D2F" w:rsidRDefault="00C62D2F" w:rsidP="004179C8">
      <w:pPr>
        <w:pStyle w:val="Default"/>
        <w:rPr>
          <w:color w:val="auto"/>
        </w:rPr>
      </w:pPr>
    </w:p>
    <w:p w:rsidR="00C62D2F" w:rsidRPr="00C62D2F" w:rsidRDefault="00C62D2F" w:rsidP="00333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179C8" w:rsidRDefault="004179C8" w:rsidP="004179C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179C8" w:rsidSect="00467DB4">
      <w:headerReference w:type="default" r:id="rId13"/>
      <w:pgSz w:w="11906" w:h="16838"/>
      <w:pgMar w:top="1134" w:right="567" w:bottom="1134" w:left="1701" w:header="425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175" w:rsidRDefault="00333175">
      <w:pPr>
        <w:spacing w:after="0" w:line="240" w:lineRule="auto"/>
      </w:pPr>
      <w:r>
        <w:separator/>
      </w:r>
    </w:p>
  </w:endnote>
  <w:endnote w:type="continuationSeparator" w:id="0">
    <w:p w:rsidR="00333175" w:rsidRDefault="00333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Verdana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175" w:rsidRDefault="00333175">
      <w:pPr>
        <w:spacing w:after="0" w:line="240" w:lineRule="auto"/>
      </w:pPr>
      <w:r>
        <w:separator/>
      </w:r>
    </w:p>
  </w:footnote>
  <w:footnote w:type="continuationSeparator" w:id="0">
    <w:p w:rsidR="00333175" w:rsidRDefault="003331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0811971"/>
      <w:docPartObj>
        <w:docPartGallery w:val="Page Numbers (Top of Page)"/>
        <w:docPartUnique/>
      </w:docPartObj>
    </w:sdtPr>
    <w:sdtEndPr/>
    <w:sdtContent>
      <w:p w:rsidR="00333175" w:rsidRDefault="00333175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65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3175" w:rsidRDefault="0033317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38"/>
    <w:multiLevelType w:val="hybridMultilevel"/>
    <w:tmpl w:val="963E3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59F7"/>
    <w:multiLevelType w:val="hybridMultilevel"/>
    <w:tmpl w:val="5D24A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23BC8"/>
    <w:multiLevelType w:val="hybridMultilevel"/>
    <w:tmpl w:val="F326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36AD8"/>
    <w:multiLevelType w:val="hybridMultilevel"/>
    <w:tmpl w:val="6F708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D1843"/>
    <w:multiLevelType w:val="hybridMultilevel"/>
    <w:tmpl w:val="CD06F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C6ADC"/>
    <w:multiLevelType w:val="hybridMultilevel"/>
    <w:tmpl w:val="7A56A53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C3375CA"/>
    <w:multiLevelType w:val="hybridMultilevel"/>
    <w:tmpl w:val="23D27334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CC13D7D"/>
    <w:multiLevelType w:val="hybridMultilevel"/>
    <w:tmpl w:val="2C145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C53185"/>
    <w:multiLevelType w:val="hybridMultilevel"/>
    <w:tmpl w:val="D08C09E4"/>
    <w:lvl w:ilvl="0" w:tplc="04190001">
      <w:start w:val="1"/>
      <w:numFmt w:val="bullet"/>
      <w:lvlText w:val=""/>
      <w:lvlJc w:val="left"/>
      <w:pPr>
        <w:ind w:left="2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2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3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17" w:hanging="360"/>
      </w:pPr>
      <w:rPr>
        <w:rFonts w:ascii="Wingdings" w:hAnsi="Wingdings" w:hint="default"/>
      </w:rPr>
    </w:lvl>
  </w:abstractNum>
  <w:abstractNum w:abstractNumId="9">
    <w:nsid w:val="229C6B93"/>
    <w:multiLevelType w:val="hybridMultilevel"/>
    <w:tmpl w:val="F3E8D3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9C15C0"/>
    <w:multiLevelType w:val="hybridMultilevel"/>
    <w:tmpl w:val="95F8C428"/>
    <w:lvl w:ilvl="0" w:tplc="AA504BD0">
      <w:start w:val="1"/>
      <w:numFmt w:val="decimal"/>
      <w:lvlText w:val="%1)"/>
      <w:lvlJc w:val="left"/>
      <w:pPr>
        <w:ind w:left="1423" w:hanging="360"/>
      </w:pPr>
      <w:rPr>
        <w:rFonts w:ascii="Times New Roman" w:eastAsia="Times New Roman" w:hAnsi="Times New Roman" w:cs="Times New Roman"/>
        <w:color w:val="auto"/>
      </w:rPr>
    </w:lvl>
    <w:lvl w:ilvl="1" w:tplc="041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>
    <w:nsid w:val="383A55DC"/>
    <w:multiLevelType w:val="hybridMultilevel"/>
    <w:tmpl w:val="D5A80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9702DCA"/>
    <w:multiLevelType w:val="hybridMultilevel"/>
    <w:tmpl w:val="72F0B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8A1436"/>
    <w:multiLevelType w:val="hybridMultilevel"/>
    <w:tmpl w:val="349A3F40"/>
    <w:lvl w:ilvl="0" w:tplc="04190001">
      <w:start w:val="1"/>
      <w:numFmt w:val="bullet"/>
      <w:lvlText w:val=""/>
      <w:lvlJc w:val="left"/>
      <w:pPr>
        <w:ind w:left="-2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</w:abstractNum>
  <w:abstractNum w:abstractNumId="14">
    <w:nsid w:val="467B1687"/>
    <w:multiLevelType w:val="hybridMultilevel"/>
    <w:tmpl w:val="7B84EDF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4FC20943"/>
    <w:multiLevelType w:val="hybridMultilevel"/>
    <w:tmpl w:val="A350E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3D0866"/>
    <w:multiLevelType w:val="hybridMultilevel"/>
    <w:tmpl w:val="71041EA8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A22A34"/>
    <w:multiLevelType w:val="hybridMultilevel"/>
    <w:tmpl w:val="2870C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A17C1D"/>
    <w:multiLevelType w:val="hybridMultilevel"/>
    <w:tmpl w:val="230A8B46"/>
    <w:lvl w:ilvl="0" w:tplc="D826B2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B256E"/>
    <w:multiLevelType w:val="hybridMultilevel"/>
    <w:tmpl w:val="3C223F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2E74DC"/>
    <w:multiLevelType w:val="hybridMultilevel"/>
    <w:tmpl w:val="25B4C210"/>
    <w:lvl w:ilvl="0" w:tplc="7FF66652">
      <w:numFmt w:val="bullet"/>
      <w:lvlText w:val="•"/>
      <w:lvlJc w:val="left"/>
      <w:pPr>
        <w:ind w:left="227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DC4ADC"/>
    <w:multiLevelType w:val="hybridMultilevel"/>
    <w:tmpl w:val="5ACA65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19249B2"/>
    <w:multiLevelType w:val="hybridMultilevel"/>
    <w:tmpl w:val="03CE53AA"/>
    <w:lvl w:ilvl="0" w:tplc="04190001">
      <w:start w:val="1"/>
      <w:numFmt w:val="bullet"/>
      <w:lvlText w:val=""/>
      <w:lvlJc w:val="left"/>
      <w:pPr>
        <w:ind w:left="13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23">
    <w:nsid w:val="73A13E87"/>
    <w:multiLevelType w:val="hybridMultilevel"/>
    <w:tmpl w:val="0E32FF6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566164F"/>
    <w:multiLevelType w:val="hybridMultilevel"/>
    <w:tmpl w:val="7BAAA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4B7A9D"/>
    <w:multiLevelType w:val="hybridMultilevel"/>
    <w:tmpl w:val="59C0796C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125414"/>
    <w:multiLevelType w:val="hybridMultilevel"/>
    <w:tmpl w:val="66D0C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25"/>
  </w:num>
  <w:num w:numId="4">
    <w:abstractNumId w:val="24"/>
  </w:num>
  <w:num w:numId="5">
    <w:abstractNumId w:val="11"/>
  </w:num>
  <w:num w:numId="6">
    <w:abstractNumId w:val="20"/>
  </w:num>
  <w:num w:numId="7">
    <w:abstractNumId w:val="0"/>
  </w:num>
  <w:num w:numId="8">
    <w:abstractNumId w:val="1"/>
  </w:num>
  <w:num w:numId="9">
    <w:abstractNumId w:val="21"/>
  </w:num>
  <w:num w:numId="10">
    <w:abstractNumId w:val="2"/>
  </w:num>
  <w:num w:numId="11">
    <w:abstractNumId w:val="7"/>
  </w:num>
  <w:num w:numId="12">
    <w:abstractNumId w:val="4"/>
  </w:num>
  <w:num w:numId="13">
    <w:abstractNumId w:val="15"/>
  </w:num>
  <w:num w:numId="14">
    <w:abstractNumId w:val="9"/>
  </w:num>
  <w:num w:numId="15">
    <w:abstractNumId w:val="18"/>
  </w:num>
  <w:num w:numId="16">
    <w:abstractNumId w:val="3"/>
  </w:num>
  <w:num w:numId="17">
    <w:abstractNumId w:val="13"/>
  </w:num>
  <w:num w:numId="18">
    <w:abstractNumId w:val="8"/>
  </w:num>
  <w:num w:numId="19">
    <w:abstractNumId w:val="23"/>
  </w:num>
  <w:num w:numId="20">
    <w:abstractNumId w:val="6"/>
  </w:num>
  <w:num w:numId="21">
    <w:abstractNumId w:val="22"/>
  </w:num>
  <w:num w:numId="22">
    <w:abstractNumId w:val="5"/>
  </w:num>
  <w:num w:numId="2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4"/>
  </w:num>
  <w:num w:numId="25">
    <w:abstractNumId w:val="17"/>
  </w:num>
  <w:num w:numId="26">
    <w:abstractNumId w:val="26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54"/>
    <w:rsid w:val="00023579"/>
    <w:rsid w:val="00034D04"/>
    <w:rsid w:val="00053AD5"/>
    <w:rsid w:val="00056502"/>
    <w:rsid w:val="0007148B"/>
    <w:rsid w:val="000830B5"/>
    <w:rsid w:val="00090887"/>
    <w:rsid w:val="00095141"/>
    <w:rsid w:val="000A0C3E"/>
    <w:rsid w:val="000A657E"/>
    <w:rsid w:val="000B2580"/>
    <w:rsid w:val="000B2BB0"/>
    <w:rsid w:val="000D34C1"/>
    <w:rsid w:val="000E1046"/>
    <w:rsid w:val="000E1F43"/>
    <w:rsid w:val="000E5320"/>
    <w:rsid w:val="00106E61"/>
    <w:rsid w:val="00140C42"/>
    <w:rsid w:val="00152221"/>
    <w:rsid w:val="0015599F"/>
    <w:rsid w:val="0016355B"/>
    <w:rsid w:val="00170F11"/>
    <w:rsid w:val="0017652C"/>
    <w:rsid w:val="001813AC"/>
    <w:rsid w:val="00181921"/>
    <w:rsid w:val="00191473"/>
    <w:rsid w:val="00191F07"/>
    <w:rsid w:val="001C21AA"/>
    <w:rsid w:val="001C7EC4"/>
    <w:rsid w:val="001D2B9B"/>
    <w:rsid w:val="001E5FC2"/>
    <w:rsid w:val="001F0E54"/>
    <w:rsid w:val="001F15E1"/>
    <w:rsid w:val="001F1AF3"/>
    <w:rsid w:val="00207AB8"/>
    <w:rsid w:val="0023076C"/>
    <w:rsid w:val="002313E2"/>
    <w:rsid w:val="00232BD5"/>
    <w:rsid w:val="0024632B"/>
    <w:rsid w:val="00247CCF"/>
    <w:rsid w:val="002634BA"/>
    <w:rsid w:val="002651B4"/>
    <w:rsid w:val="00287CC2"/>
    <w:rsid w:val="002B3B52"/>
    <w:rsid w:val="002B6D15"/>
    <w:rsid w:val="002C6528"/>
    <w:rsid w:val="002D34B2"/>
    <w:rsid w:val="00305760"/>
    <w:rsid w:val="0032374D"/>
    <w:rsid w:val="00323DF8"/>
    <w:rsid w:val="0032521A"/>
    <w:rsid w:val="00333175"/>
    <w:rsid w:val="00343D64"/>
    <w:rsid w:val="003479A3"/>
    <w:rsid w:val="00374898"/>
    <w:rsid w:val="00381583"/>
    <w:rsid w:val="00381F68"/>
    <w:rsid w:val="0039644C"/>
    <w:rsid w:val="003A09DB"/>
    <w:rsid w:val="003C5D85"/>
    <w:rsid w:val="003E35D8"/>
    <w:rsid w:val="00407FE6"/>
    <w:rsid w:val="004179C8"/>
    <w:rsid w:val="0042223E"/>
    <w:rsid w:val="00443B4E"/>
    <w:rsid w:val="004467B9"/>
    <w:rsid w:val="00467DB4"/>
    <w:rsid w:val="004944E9"/>
    <w:rsid w:val="004B2E6F"/>
    <w:rsid w:val="004C1C80"/>
    <w:rsid w:val="004D7F9E"/>
    <w:rsid w:val="004F2116"/>
    <w:rsid w:val="00520C42"/>
    <w:rsid w:val="00531122"/>
    <w:rsid w:val="00550DFC"/>
    <w:rsid w:val="005B68ED"/>
    <w:rsid w:val="005C6686"/>
    <w:rsid w:val="005D1B80"/>
    <w:rsid w:val="005E51A7"/>
    <w:rsid w:val="005E5330"/>
    <w:rsid w:val="005E68B5"/>
    <w:rsid w:val="005F1B4B"/>
    <w:rsid w:val="00605AD2"/>
    <w:rsid w:val="006250B8"/>
    <w:rsid w:val="00633D96"/>
    <w:rsid w:val="006438D3"/>
    <w:rsid w:val="0066309E"/>
    <w:rsid w:val="0068581F"/>
    <w:rsid w:val="006921DB"/>
    <w:rsid w:val="006A4655"/>
    <w:rsid w:val="006A62BE"/>
    <w:rsid w:val="006B0ECB"/>
    <w:rsid w:val="006F0D13"/>
    <w:rsid w:val="00704D6F"/>
    <w:rsid w:val="0072064E"/>
    <w:rsid w:val="00736583"/>
    <w:rsid w:val="00743FAE"/>
    <w:rsid w:val="007507A6"/>
    <w:rsid w:val="00753CCB"/>
    <w:rsid w:val="0075603E"/>
    <w:rsid w:val="00757833"/>
    <w:rsid w:val="00770B72"/>
    <w:rsid w:val="00777DD6"/>
    <w:rsid w:val="007817F1"/>
    <w:rsid w:val="0078507F"/>
    <w:rsid w:val="007A680E"/>
    <w:rsid w:val="007A6EFF"/>
    <w:rsid w:val="007C02CB"/>
    <w:rsid w:val="007C23FF"/>
    <w:rsid w:val="007D18B4"/>
    <w:rsid w:val="008244E7"/>
    <w:rsid w:val="00830EC9"/>
    <w:rsid w:val="00840CD8"/>
    <w:rsid w:val="00855F99"/>
    <w:rsid w:val="008564F9"/>
    <w:rsid w:val="008723A6"/>
    <w:rsid w:val="00886289"/>
    <w:rsid w:val="00897E38"/>
    <w:rsid w:val="008A1691"/>
    <w:rsid w:val="008A47E9"/>
    <w:rsid w:val="008C107E"/>
    <w:rsid w:val="008C5231"/>
    <w:rsid w:val="008C60DB"/>
    <w:rsid w:val="008E0E7E"/>
    <w:rsid w:val="008E50D8"/>
    <w:rsid w:val="008F7447"/>
    <w:rsid w:val="0091127C"/>
    <w:rsid w:val="0093005E"/>
    <w:rsid w:val="009352B1"/>
    <w:rsid w:val="00962735"/>
    <w:rsid w:val="00972452"/>
    <w:rsid w:val="00976AD0"/>
    <w:rsid w:val="0098132F"/>
    <w:rsid w:val="00981ED8"/>
    <w:rsid w:val="009A1E77"/>
    <w:rsid w:val="009D53D0"/>
    <w:rsid w:val="009D6927"/>
    <w:rsid w:val="009E3EEB"/>
    <w:rsid w:val="009F6103"/>
    <w:rsid w:val="00A05057"/>
    <w:rsid w:val="00A14CB1"/>
    <w:rsid w:val="00A227D9"/>
    <w:rsid w:val="00A22AB1"/>
    <w:rsid w:val="00A24241"/>
    <w:rsid w:val="00A25572"/>
    <w:rsid w:val="00A4612D"/>
    <w:rsid w:val="00A672F4"/>
    <w:rsid w:val="00A7765E"/>
    <w:rsid w:val="00AA5070"/>
    <w:rsid w:val="00AF2706"/>
    <w:rsid w:val="00B00E12"/>
    <w:rsid w:val="00B06B4A"/>
    <w:rsid w:val="00B13DE7"/>
    <w:rsid w:val="00B358E2"/>
    <w:rsid w:val="00B57B4E"/>
    <w:rsid w:val="00B605BF"/>
    <w:rsid w:val="00B70C33"/>
    <w:rsid w:val="00B72CC0"/>
    <w:rsid w:val="00B7541F"/>
    <w:rsid w:val="00B819AB"/>
    <w:rsid w:val="00B85A2B"/>
    <w:rsid w:val="00B91475"/>
    <w:rsid w:val="00B9162C"/>
    <w:rsid w:val="00B930F5"/>
    <w:rsid w:val="00B93ED5"/>
    <w:rsid w:val="00BC7671"/>
    <w:rsid w:val="00BE721E"/>
    <w:rsid w:val="00C27DAF"/>
    <w:rsid w:val="00C30666"/>
    <w:rsid w:val="00C47486"/>
    <w:rsid w:val="00C62D2F"/>
    <w:rsid w:val="00C65142"/>
    <w:rsid w:val="00C75F3B"/>
    <w:rsid w:val="00C770D2"/>
    <w:rsid w:val="00C86AB9"/>
    <w:rsid w:val="00C936F1"/>
    <w:rsid w:val="00CA4C54"/>
    <w:rsid w:val="00CA7538"/>
    <w:rsid w:val="00CB3760"/>
    <w:rsid w:val="00CE5D01"/>
    <w:rsid w:val="00CE6DFA"/>
    <w:rsid w:val="00CF30F1"/>
    <w:rsid w:val="00CF4D58"/>
    <w:rsid w:val="00CF56B9"/>
    <w:rsid w:val="00D16750"/>
    <w:rsid w:val="00D20C59"/>
    <w:rsid w:val="00D33C2E"/>
    <w:rsid w:val="00D413CF"/>
    <w:rsid w:val="00D634AF"/>
    <w:rsid w:val="00DA3C18"/>
    <w:rsid w:val="00DF64CD"/>
    <w:rsid w:val="00E01667"/>
    <w:rsid w:val="00E208E6"/>
    <w:rsid w:val="00E22A30"/>
    <w:rsid w:val="00E269A7"/>
    <w:rsid w:val="00E311BC"/>
    <w:rsid w:val="00E36D1D"/>
    <w:rsid w:val="00E4154D"/>
    <w:rsid w:val="00E622F4"/>
    <w:rsid w:val="00E757C9"/>
    <w:rsid w:val="00E803F1"/>
    <w:rsid w:val="00E9206A"/>
    <w:rsid w:val="00ED5BB1"/>
    <w:rsid w:val="00ED7DD9"/>
    <w:rsid w:val="00F00B49"/>
    <w:rsid w:val="00F04349"/>
    <w:rsid w:val="00F115D1"/>
    <w:rsid w:val="00F47E7D"/>
    <w:rsid w:val="00F53DB2"/>
    <w:rsid w:val="00F706B8"/>
    <w:rsid w:val="00F9024B"/>
    <w:rsid w:val="00FB3775"/>
    <w:rsid w:val="00FB7CFB"/>
    <w:rsid w:val="00FC5D7F"/>
    <w:rsid w:val="00FE6EE8"/>
    <w:rsid w:val="00FF0F77"/>
    <w:rsid w:val="00FF2882"/>
    <w:rsid w:val="00FF3D80"/>
    <w:rsid w:val="00FF4CFA"/>
    <w:rsid w:val="00FF550C"/>
    <w:rsid w:val="00FF5744"/>
    <w:rsid w:val="00FF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80"/>
  </w:style>
  <w:style w:type="paragraph" w:styleId="1">
    <w:name w:val="heading 1"/>
    <w:basedOn w:val="a"/>
    <w:next w:val="a"/>
    <w:link w:val="10"/>
    <w:uiPriority w:val="9"/>
    <w:qFormat/>
    <w:rsid w:val="001E5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5A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5A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A4C5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2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A4C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2"/>
    <w:uiPriority w:val="99"/>
    <w:rsid w:val="00CA4C54"/>
  </w:style>
  <w:style w:type="paragraph" w:styleId="22">
    <w:name w:val="Body Text 2"/>
    <w:basedOn w:val="a"/>
    <w:link w:val="21"/>
    <w:uiPriority w:val="99"/>
    <w:unhideWhenUsed/>
    <w:rsid w:val="00CA4C54"/>
    <w:pPr>
      <w:spacing w:after="120" w:line="480" w:lineRule="auto"/>
    </w:pPr>
  </w:style>
  <w:style w:type="paragraph" w:styleId="a6">
    <w:name w:val="Body Text"/>
    <w:basedOn w:val="a"/>
    <w:link w:val="a7"/>
    <w:uiPriority w:val="99"/>
    <w:unhideWhenUsed/>
    <w:rsid w:val="00CA4C5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A4C54"/>
  </w:style>
  <w:style w:type="paragraph" w:styleId="a8">
    <w:name w:val="List Paragraph"/>
    <w:basedOn w:val="a"/>
    <w:uiPriority w:val="34"/>
    <w:qFormat/>
    <w:rsid w:val="00CA4C54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CA4C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CA4C54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Знак Знак Знак Знак,Знак Знак"/>
    <w:basedOn w:val="a0"/>
    <w:link w:val="ab"/>
    <w:semiHidden/>
    <w:rsid w:val="00CA4C54"/>
  </w:style>
  <w:style w:type="paragraph" w:styleId="ab">
    <w:name w:val="Body Text Indent"/>
    <w:aliases w:val="Знак Знак Знак,Знак"/>
    <w:basedOn w:val="a"/>
    <w:link w:val="aa"/>
    <w:semiHidden/>
    <w:unhideWhenUsed/>
    <w:rsid w:val="00CA4C54"/>
    <w:pPr>
      <w:spacing w:after="120"/>
      <w:ind w:left="283"/>
    </w:pPr>
  </w:style>
  <w:style w:type="character" w:styleId="ac">
    <w:name w:val="Hyperlink"/>
    <w:unhideWhenUsed/>
    <w:rsid w:val="00CA4C5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A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A4C54"/>
  </w:style>
  <w:style w:type="paragraph" w:styleId="af">
    <w:name w:val="footer"/>
    <w:basedOn w:val="a"/>
    <w:link w:val="af0"/>
    <w:uiPriority w:val="99"/>
    <w:unhideWhenUsed/>
    <w:rsid w:val="00CA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4C54"/>
  </w:style>
  <w:style w:type="paragraph" w:customStyle="1" w:styleId="ConsPlusNormal">
    <w:name w:val="ConsPlusNormal"/>
    <w:link w:val="ConsPlusNormal0"/>
    <w:rsid w:val="00CA4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0B49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F00B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85A2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5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5A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5A2B"/>
  </w:style>
  <w:style w:type="paragraph" w:customStyle="1" w:styleId="af2">
    <w:name w:val="Обычный + по ширине"/>
    <w:basedOn w:val="a"/>
    <w:rsid w:val="00B85A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B85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B85A2B"/>
    <w:rPr>
      <w:rFonts w:ascii="Times New Roman" w:hAnsi="Times New Roman" w:cs="Times New Roman" w:hint="default"/>
    </w:rPr>
  </w:style>
  <w:style w:type="character" w:customStyle="1" w:styleId="af3">
    <w:name w:val="Гипертекстовая ссылка"/>
    <w:uiPriority w:val="99"/>
    <w:rsid w:val="00B85A2B"/>
    <w:rPr>
      <w:rFonts w:cs="Times New Roman"/>
      <w:bCs/>
      <w:color w:val="106BBE"/>
      <w:sz w:val="20"/>
      <w:szCs w:val="20"/>
    </w:rPr>
  </w:style>
  <w:style w:type="character" w:customStyle="1" w:styleId="FontStyle64">
    <w:name w:val="Font Style64"/>
    <w:uiPriority w:val="99"/>
    <w:rsid w:val="00B85A2B"/>
    <w:rPr>
      <w:rFonts w:ascii="Times New Roman" w:hAnsi="Times New Roman" w:cs="Times New Roman"/>
      <w:sz w:val="22"/>
      <w:szCs w:val="22"/>
    </w:rPr>
  </w:style>
  <w:style w:type="paragraph" w:customStyle="1" w:styleId="af4">
    <w:name w:val="Заголовок статьи"/>
    <w:basedOn w:val="a"/>
    <w:next w:val="a"/>
    <w:uiPriority w:val="99"/>
    <w:rsid w:val="00B85A2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resultitem">
    <w:name w:val="resultitem"/>
    <w:basedOn w:val="a0"/>
    <w:rsid w:val="00B85A2B"/>
  </w:style>
  <w:style w:type="paragraph" w:customStyle="1" w:styleId="Default">
    <w:name w:val="Default"/>
    <w:rsid w:val="00ED5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1D2B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80"/>
  </w:style>
  <w:style w:type="paragraph" w:styleId="1">
    <w:name w:val="heading 1"/>
    <w:basedOn w:val="a"/>
    <w:next w:val="a"/>
    <w:link w:val="10"/>
    <w:uiPriority w:val="9"/>
    <w:qFormat/>
    <w:rsid w:val="001E5F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B85A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85A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A4C54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5A2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A4C5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C5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A4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2"/>
    <w:uiPriority w:val="99"/>
    <w:rsid w:val="00CA4C54"/>
  </w:style>
  <w:style w:type="paragraph" w:styleId="22">
    <w:name w:val="Body Text 2"/>
    <w:basedOn w:val="a"/>
    <w:link w:val="21"/>
    <w:uiPriority w:val="99"/>
    <w:unhideWhenUsed/>
    <w:rsid w:val="00CA4C54"/>
    <w:pPr>
      <w:spacing w:after="120" w:line="480" w:lineRule="auto"/>
    </w:pPr>
  </w:style>
  <w:style w:type="paragraph" w:styleId="a6">
    <w:name w:val="Body Text"/>
    <w:basedOn w:val="a"/>
    <w:link w:val="a7"/>
    <w:uiPriority w:val="99"/>
    <w:unhideWhenUsed/>
    <w:rsid w:val="00CA4C5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CA4C54"/>
  </w:style>
  <w:style w:type="paragraph" w:styleId="a8">
    <w:name w:val="List Paragraph"/>
    <w:basedOn w:val="a"/>
    <w:uiPriority w:val="34"/>
    <w:qFormat/>
    <w:rsid w:val="00CA4C54"/>
    <w:pPr>
      <w:ind w:left="720"/>
      <w:contextualSpacing/>
    </w:pPr>
  </w:style>
  <w:style w:type="paragraph" w:customStyle="1" w:styleId="210">
    <w:name w:val="Основной текст 21"/>
    <w:basedOn w:val="a"/>
    <w:uiPriority w:val="99"/>
    <w:rsid w:val="00CA4C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CA4C54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Знак Знак Знак Знак,Знак Знак"/>
    <w:basedOn w:val="a0"/>
    <w:link w:val="ab"/>
    <w:semiHidden/>
    <w:rsid w:val="00CA4C54"/>
  </w:style>
  <w:style w:type="paragraph" w:styleId="ab">
    <w:name w:val="Body Text Indent"/>
    <w:aliases w:val="Знак Знак Знак,Знак"/>
    <w:basedOn w:val="a"/>
    <w:link w:val="aa"/>
    <w:semiHidden/>
    <w:unhideWhenUsed/>
    <w:rsid w:val="00CA4C54"/>
    <w:pPr>
      <w:spacing w:after="120"/>
      <w:ind w:left="283"/>
    </w:pPr>
  </w:style>
  <w:style w:type="character" w:styleId="ac">
    <w:name w:val="Hyperlink"/>
    <w:unhideWhenUsed/>
    <w:rsid w:val="00CA4C5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A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A4C54"/>
  </w:style>
  <w:style w:type="paragraph" w:styleId="af">
    <w:name w:val="footer"/>
    <w:basedOn w:val="a"/>
    <w:link w:val="af0"/>
    <w:uiPriority w:val="99"/>
    <w:unhideWhenUsed/>
    <w:rsid w:val="00CA4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A4C54"/>
  </w:style>
  <w:style w:type="paragraph" w:customStyle="1" w:styleId="ConsPlusNormal">
    <w:name w:val="ConsPlusNormal"/>
    <w:link w:val="ConsPlusNormal0"/>
    <w:rsid w:val="00CA4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00B49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F00B4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E5F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B85A2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85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5A2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85A2B"/>
  </w:style>
  <w:style w:type="paragraph" w:customStyle="1" w:styleId="af2">
    <w:name w:val="Обычный + по ширине"/>
    <w:basedOn w:val="a"/>
    <w:rsid w:val="00B85A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B85A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B85A2B"/>
    <w:rPr>
      <w:rFonts w:ascii="Times New Roman" w:hAnsi="Times New Roman" w:cs="Times New Roman" w:hint="default"/>
    </w:rPr>
  </w:style>
  <w:style w:type="character" w:customStyle="1" w:styleId="af3">
    <w:name w:val="Гипертекстовая ссылка"/>
    <w:uiPriority w:val="99"/>
    <w:rsid w:val="00B85A2B"/>
    <w:rPr>
      <w:rFonts w:cs="Times New Roman"/>
      <w:bCs/>
      <w:color w:val="106BBE"/>
      <w:sz w:val="20"/>
      <w:szCs w:val="20"/>
    </w:rPr>
  </w:style>
  <w:style w:type="character" w:customStyle="1" w:styleId="FontStyle64">
    <w:name w:val="Font Style64"/>
    <w:uiPriority w:val="99"/>
    <w:rsid w:val="00B85A2B"/>
    <w:rPr>
      <w:rFonts w:ascii="Times New Roman" w:hAnsi="Times New Roman" w:cs="Times New Roman"/>
      <w:sz w:val="22"/>
      <w:szCs w:val="22"/>
    </w:rPr>
  </w:style>
  <w:style w:type="paragraph" w:customStyle="1" w:styleId="af4">
    <w:name w:val="Заголовок статьи"/>
    <w:basedOn w:val="a"/>
    <w:next w:val="a"/>
    <w:uiPriority w:val="99"/>
    <w:rsid w:val="00B85A2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resultitem">
    <w:name w:val="resultitem"/>
    <w:basedOn w:val="a0"/>
    <w:rsid w:val="00B85A2B"/>
  </w:style>
  <w:style w:type="paragraph" w:customStyle="1" w:styleId="Default">
    <w:name w:val="Default"/>
    <w:rsid w:val="00ED5B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1D2B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2775775624200815"/>
          <c:y val="0.13931819569065493"/>
          <c:w val="0.61397021256896633"/>
          <c:h val="0.6835007329769398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cene3d>
              <a:camera prst="orthographicFront"/>
              <a:lightRig rig="threePt" dir="t"/>
            </a:scene3d>
            <a:sp3d>
              <a:bevelT w="19050"/>
              <a:bevelB w="6350" h="8255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7030A0"/>
              </a:solidFill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9050"/>
                <a:bevelB w="6350" h="825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5A4-4DA7-A55F-AC759E872FBF}"/>
              </c:ext>
            </c:extLst>
          </c:dPt>
          <c:dPt>
            <c:idx val="1"/>
            <c:invertIfNegative val="0"/>
            <c:bubble3D val="0"/>
            <c:spPr>
              <a:solidFill>
                <a:srgbClr val="FFFF00"/>
              </a:solidFill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9050"/>
                <a:bevelB w="6350" h="825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5A4-4DA7-A55F-AC759E872FBF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effectLst>
                <a:outerShdw blurRad="50800" dist="38100" dir="18900000" algn="bl" rotWithShape="0">
                  <a:prstClr val="black">
                    <a:alpha val="40000"/>
                  </a:prstClr>
                </a:outerShdw>
              </a:effectLst>
              <a:scene3d>
                <a:camera prst="orthographicFront"/>
                <a:lightRig rig="threePt" dir="t">
                  <a:rot lat="0" lon="0" rev="1200000"/>
                </a:lightRig>
              </a:scene3d>
              <a:sp3d>
                <a:bevelT w="19050"/>
                <a:bevelB w="6350" h="8255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A5A4-4DA7-A55F-AC759E872FBF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Прочие нарушения законодательства</c:v>
                </c:pt>
                <c:pt idx="1">
                  <c:v>Неэффективные расходы</c:v>
                </c:pt>
                <c:pt idx="2">
                  <c:v>Нарушения при формировании и исполнении бюджета            </c:v>
                </c:pt>
                <c:pt idx="3">
                  <c:v>Нарушения бухгалтерского учета</c:v>
                </c:pt>
                <c:pt idx="4">
                  <c:v>Нарушения при осуществии закупок</c:v>
                </c:pt>
              </c:strCache>
            </c:strRef>
          </c:cat>
          <c:val>
            <c:numRef>
              <c:f>Лист1!$B$2:$B$6</c:f>
              <c:numCache>
                <c:formatCode>#,##0.00</c:formatCode>
                <c:ptCount val="5"/>
                <c:pt idx="0">
                  <c:v>29.8</c:v>
                </c:pt>
                <c:pt idx="1">
                  <c:v>2.2999999999999998</c:v>
                </c:pt>
                <c:pt idx="2">
                  <c:v>16.899999999999999</c:v>
                </c:pt>
                <c:pt idx="3">
                  <c:v>112.1</c:v>
                </c:pt>
                <c:pt idx="4" formatCode="General">
                  <c:v>1.1000000000000001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A5A4-4DA7-A55F-AC759E872F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8439424"/>
        <c:axId val="68468096"/>
      </c:barChart>
      <c:catAx>
        <c:axId val="684394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</a:defRPr>
            </a:pPr>
            <a:endParaRPr lang="ru-RU"/>
          </a:p>
        </c:txPr>
        <c:crossAx val="68468096"/>
        <c:crosses val="autoZero"/>
        <c:auto val="1"/>
        <c:lblAlgn val="ctr"/>
        <c:lblOffset val="100"/>
        <c:noMultiLvlLbl val="0"/>
      </c:catAx>
      <c:valAx>
        <c:axId val="68468096"/>
        <c:scaling>
          <c:orientation val="minMax"/>
        </c:scaling>
        <c:delete val="1"/>
        <c:axPos val="b"/>
        <c:majorGridlines/>
        <c:numFmt formatCode="#,##0.00" sourceLinked="1"/>
        <c:majorTickMark val="out"/>
        <c:minorTickMark val="none"/>
        <c:tickLblPos val="none"/>
        <c:crossAx val="6843942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2"/>
          <c:order val="0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546725533480441E-2"/>
                  <c:y val="-4.040404040404041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5D7-4D58-ACD7-0E7DFD532B79}"/>
                </c:ext>
              </c:extLst>
            </c:dLbl>
            <c:dLbl>
              <c:idx val="1"/>
              <c:layout>
                <c:manualLayout>
                  <c:x val="2.6490066225165455E-2"/>
                  <c:y val="-9.42760942760942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5D7-4D58-ACD7-0E7DFD532B79}"/>
                </c:ext>
              </c:extLst>
            </c:dLbl>
            <c:dLbl>
              <c:idx val="2"/>
              <c:layout>
                <c:manualLayout>
                  <c:x val="3.5320088300220751E-2"/>
                  <c:y val="-8.75420875420875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5D7-4D58-ACD7-0E7DFD532B7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31</c:v>
                </c:pt>
                <c:pt idx="1">
                  <c:v>37</c:v>
                </c:pt>
                <c:pt idx="2">
                  <c:v>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5D7-4D58-ACD7-0E7DFD532B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8412928"/>
        <c:axId val="68414464"/>
        <c:axId val="0"/>
      </c:bar3DChart>
      <c:catAx>
        <c:axId val="68412928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68414464"/>
        <c:crosses val="autoZero"/>
        <c:auto val="1"/>
        <c:lblAlgn val="ctr"/>
        <c:lblOffset val="100"/>
        <c:noMultiLvlLbl val="0"/>
      </c:catAx>
      <c:valAx>
        <c:axId val="6841446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841292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2"/>
      <c:hPercent val="64"/>
      <c:rotY val="25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942408376963352E-2"/>
                  <c:y val="-4.7449584816132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261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2D-4952-878A-94ED5E311FD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615474112856314E-2"/>
                  <c:y val="-4.2704626334519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115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C2D-4952-878A-94ED5E311FD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481093659104055E-2"/>
                  <c:y val="-4.7449584816132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C2D-4952-878A-94ED5E311F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8603904"/>
        <c:axId val="68605440"/>
        <c:axId val="0"/>
      </c:bar3DChart>
      <c:catAx>
        <c:axId val="68603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686054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60544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686039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предложений</c:v>
                </c:pt>
              </c:strCache>
            </c:strRef>
          </c:tx>
          <c:spPr>
            <a:effectLst>
              <a:innerShdw blurRad="63500" dist="50800" dir="189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ED-4D9A-B194-B3C1304EC4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учтенных предложений</c:v>
                </c:pt>
              </c:strCache>
            </c:strRef>
          </c:tx>
          <c:spPr>
            <a:effectLst>
              <a:innerShdw blurRad="63500" dist="50800" dir="189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2016</c:v>
                </c:pt>
                <c:pt idx="1">
                  <c:v>2017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29</c:v>
                </c:pt>
                <c:pt idx="1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ED-4D9A-B194-B3C1304EC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657536"/>
        <c:axId val="68659072"/>
      </c:barChart>
      <c:catAx>
        <c:axId val="686575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8659072"/>
        <c:crosses val="autoZero"/>
        <c:auto val="1"/>
        <c:lblAlgn val="ctr"/>
        <c:lblOffset val="100"/>
        <c:noMultiLvlLbl val="0"/>
      </c:catAx>
      <c:valAx>
        <c:axId val="68659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6575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BC62-2DD2-42F7-9DE8-B4202441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10699</Words>
  <Characters>60985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ОВ</cp:lastModifiedBy>
  <cp:revision>2</cp:revision>
  <cp:lastPrinted>2018-04-11T09:49:00Z</cp:lastPrinted>
  <dcterms:created xsi:type="dcterms:W3CDTF">2019-01-15T09:27:00Z</dcterms:created>
  <dcterms:modified xsi:type="dcterms:W3CDTF">2019-01-15T09:27:00Z</dcterms:modified>
</cp:coreProperties>
</file>