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ind w:right="4960"/>
        <w:jc w:val="both"/>
        <w:tabs>
          <w:tab w:val="left" w:pos="4678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  <w:highlight w:val="none"/>
        </w:rPr>
        <w:t xml:space="preserve">О внесении изменений в </w:t>
      </w:r>
      <w:r>
        <w:rPr>
          <w:color w:val="auto"/>
          <w:highlight w:val="none"/>
        </w:rPr>
        <w:t xml:space="preserve">постановлени</w:t>
      </w:r>
      <w:r>
        <w:rPr>
          <w:color w:val="auto"/>
          <w:highlight w:val="none"/>
        </w:rPr>
        <w:t xml:space="preserve">е</w:t>
      </w:r>
      <w:r>
        <w:rPr>
          <w:color w:val="auto"/>
          <w:highlight w:val="none"/>
        </w:rPr>
        <w:t xml:space="preserve"> а</w:t>
      </w:r>
      <w:r>
        <w:rPr>
          <w:color w:val="auto"/>
          <w:highlight w:val="none"/>
        </w:rPr>
        <w:t xml:space="preserve">д</w:t>
      </w:r>
      <w:r>
        <w:rPr>
          <w:color w:val="auto"/>
          <w:highlight w:val="none"/>
        </w:rPr>
        <w:t xml:space="preserve">министрации города </w:t>
      </w:r>
      <w:r>
        <w:rPr>
          <w:color w:val="auto"/>
          <w:highlight w:val="none"/>
        </w:rPr>
        <w:t xml:space="preserve">от </w:t>
      </w:r>
      <w:r>
        <w:rPr>
          <w:color w:val="auto"/>
          <w:highlight w:val="none"/>
        </w:rPr>
        <w:t xml:space="preserve">02.09.2019</w:t>
      </w:r>
      <w:r>
        <w:rPr>
          <w:color w:val="auto"/>
          <w:highlight w:val="none"/>
        </w:rPr>
        <w:t xml:space="preserve"> №</w:t>
      </w:r>
      <w:r>
        <w:rPr>
          <w:color w:val="auto"/>
          <w:highlight w:val="none"/>
        </w:rPr>
        <w:t xml:space="preserve">729</w:t>
      </w:r>
      <w:r>
        <w:rPr>
          <w:color w:val="auto"/>
          <w:highlight w:val="none"/>
        </w:rPr>
        <w:t xml:space="preserve"> "</w:t>
      </w:r>
      <w:r>
        <w:rPr>
          <w:color w:val="auto"/>
          <w:highlight w:val="none"/>
        </w:rPr>
        <w:t xml:space="preserve">Об утверждении норм расходов </w:t>
        <w:br/>
        <w:t xml:space="preserve">при проведении и участии </w:t>
      </w:r>
      <w:r>
        <w:rPr>
          <w:color w:val="auto"/>
          <w:highlight w:val="none"/>
        </w:rPr>
        <w:t xml:space="preserve">в официальных физкультурных мероприятиях и спортивных мероприятиях</w:t>
      </w:r>
      <w:r>
        <w:rPr>
          <w:color w:val="auto"/>
          <w:highlight w:val="none"/>
        </w:rPr>
        <w:t xml:space="preserve">"</w:t>
      </w:r>
      <w:r>
        <w:rPr>
          <w:color w:val="auto"/>
          <w:highlight w:val="none"/>
        </w:rPr>
        <w:t xml:space="preserve"> (с изменениями от 28.02.2020 №166, 02.06.2022 №355, 02.03.2023 №222)</w:t>
      </w:r>
      <w:r>
        <w:rPr>
          <w:color w:val="auto"/>
          <w:highlight w:val="none"/>
        </w:rPr>
        <w:t xml:space="preserve"> </w:t>
      </w:r>
      <w:r>
        <w:rPr>
          <w:color w:val="auto"/>
          <w:highlight w:val="none"/>
        </w:rPr>
      </w:r>
      <w:r/>
    </w:p>
    <w:p>
      <w:pPr>
        <w:pStyle w:val="846"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846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Федеральным законом от 04.12.2007 №329-ФЗ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"О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физической культуре и спорте в Российской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учитывая постановление Правительства Ханты-Мансийс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кого автономного округа – Югры от 07.10.2022 №491-п "О порядке финансирования и нормах расходов средств на проведение официальных физкультурных мероприятий и спортивных мероприятий, включенных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календарный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пла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официальных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физкультурных мероприя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 спортивных мероприятий Ханты-Мансийского автономного округа – Югры",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846"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Внести изменения в </w:t>
      </w:r>
      <w:r>
        <w:rPr>
          <w:color w:val="000000" w:themeColor="text1"/>
          <w:sz w:val="28"/>
          <w:szCs w:val="28"/>
          <w:highlight w:val="none"/>
        </w:rPr>
        <w:t xml:space="preserve">пос</w:t>
      </w:r>
      <w:r>
        <w:rPr>
          <w:color w:val="000000" w:themeColor="text1"/>
          <w:sz w:val="28"/>
          <w:szCs w:val="28"/>
          <w:highlight w:val="none"/>
        </w:rPr>
        <w:t xml:space="preserve">тановлени</w:t>
      </w:r>
      <w:r>
        <w:rPr>
          <w:color w:val="000000" w:themeColor="text1"/>
          <w:sz w:val="28"/>
          <w:szCs w:val="28"/>
          <w:highlight w:val="none"/>
        </w:rPr>
        <w:t xml:space="preserve">е</w:t>
      </w:r>
      <w:r>
        <w:rPr>
          <w:color w:val="000000" w:themeColor="text1"/>
          <w:sz w:val="28"/>
          <w:szCs w:val="28"/>
          <w:highlight w:val="none"/>
        </w:rPr>
        <w:t xml:space="preserve"> администрации города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от </w:t>
      </w:r>
      <w:r>
        <w:rPr>
          <w:sz w:val="28"/>
          <w:szCs w:val="28"/>
          <w:highlight w:val="none"/>
        </w:rPr>
        <w:t xml:space="preserve">02.09.2019</w:t>
      </w:r>
      <w:r>
        <w:rPr>
          <w:sz w:val="28"/>
          <w:szCs w:val="28"/>
          <w:highlight w:val="none"/>
        </w:rPr>
        <w:t xml:space="preserve"> №</w:t>
      </w:r>
      <w:r>
        <w:rPr>
          <w:sz w:val="28"/>
          <w:szCs w:val="28"/>
          <w:highlight w:val="none"/>
        </w:rPr>
        <w:t xml:space="preserve">729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 утверждении норм расходов при проведении </w:t>
      </w:r>
      <w:r>
        <w:rPr>
          <w:sz w:val="28"/>
          <w:szCs w:val="28"/>
          <w:highlight w:val="none"/>
        </w:rPr>
        <w:br w:type="textWrapping" w:clear="all"/>
      </w:r>
      <w:r>
        <w:rPr>
          <w:sz w:val="28"/>
          <w:szCs w:val="28"/>
          <w:highlight w:val="none"/>
        </w:rPr>
        <w:t xml:space="preserve">и участии в официальных физкультурных мероприятиях и спортивных мероприяти</w:t>
      </w:r>
      <w:r>
        <w:rPr>
          <w:sz w:val="28"/>
          <w:szCs w:val="28"/>
          <w:highlight w:val="none"/>
        </w:rPr>
        <w:t xml:space="preserve">ях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(с изменениями от 28.02.2020 №166, 02.06.2022 №355, 02.03.2023 №222)</w:t>
      </w:r>
      <w:r>
        <w:rPr>
          <w:sz w:val="28"/>
          <w:szCs w:val="28"/>
          <w:highlight w:val="none"/>
        </w:rPr>
        <w:t xml:space="preserve"> согласно приложению.</w:t>
      </w:r>
      <w:r>
        <w:rPr>
          <w:highlight w:val="none"/>
        </w:rPr>
      </w:r>
      <w:r/>
    </w:p>
    <w:p>
      <w:pPr>
        <w:pStyle w:val="846"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846"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highlight w:val="none"/>
        </w:rPr>
      </w:r>
      <w:r/>
    </w:p>
    <w:p>
      <w:pPr>
        <w:pStyle w:val="846"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846"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</w:t>
      </w:r>
      <w:r>
        <w:rPr>
          <w:sz w:val="28"/>
          <w:szCs w:val="28"/>
          <w:highlight w:val="none"/>
        </w:rPr>
        <w:t xml:space="preserve">Постановление вступает в силу </w:t>
      </w:r>
      <w:r>
        <w:rPr>
          <w:sz w:val="28"/>
          <w:szCs w:val="28"/>
          <w:highlight w:val="none"/>
        </w:rPr>
        <w:t xml:space="preserve">после его официального опубликования.</w:t>
      </w:r>
      <w:r/>
    </w:p>
    <w:p>
      <w:pPr>
        <w:pStyle w:val="846"/>
        <w:jc w:val="both"/>
        <w:shd w:val="clear" w:color="ffffff" w:themeColor="background1" w:fill="ffffff" w:themeFill="background1"/>
        <w:rPr>
          <w:szCs w:val="26"/>
          <w:highlight w:val="none"/>
        </w:rPr>
      </w:pPr>
      <w:r>
        <w:rPr>
          <w:szCs w:val="26"/>
          <w:highlight w:val="none"/>
        </w:rPr>
      </w:r>
      <w:r>
        <w:rPr>
          <w:highlight w:val="none"/>
        </w:rPr>
      </w:r>
      <w:r/>
    </w:p>
    <w:p>
      <w:pPr>
        <w:pStyle w:val="846"/>
        <w:jc w:val="both"/>
        <w:shd w:val="clear" w:color="ffffff" w:themeColor="background1" w:fill="ffffff" w:themeFill="background1"/>
        <w:rPr>
          <w:szCs w:val="26"/>
          <w:highlight w:val="none"/>
        </w:rPr>
      </w:pPr>
      <w:r>
        <w:rPr>
          <w:szCs w:val="26"/>
          <w:highlight w:val="none"/>
        </w:rPr>
      </w:r>
      <w:r>
        <w:rPr>
          <w:highlight w:val="none"/>
        </w:rPr>
      </w:r>
      <w:r/>
    </w:p>
    <w:p>
      <w:pPr>
        <w:pStyle w:val="846"/>
        <w:jc w:val="both"/>
        <w:shd w:val="clear" w:color="ffffff" w:themeColor="background1" w:fill="ffffff" w:themeFill="background1"/>
        <w:rPr>
          <w:szCs w:val="26"/>
          <w:highlight w:val="none"/>
        </w:rPr>
      </w:pPr>
      <w:r>
        <w:rPr>
          <w:szCs w:val="26"/>
          <w:highlight w:val="none"/>
        </w:rPr>
      </w:r>
      <w:r>
        <w:rPr>
          <w:highlight w:val="none"/>
        </w:rPr>
      </w:r>
      <w:r/>
    </w:p>
    <w:p>
      <w:pPr>
        <w:pStyle w:val="846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ла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города </w:t>
      </w:r>
      <w:r>
        <w:rPr>
          <w:sz w:val="28"/>
          <w:szCs w:val="28"/>
          <w:highlight w:val="none"/>
        </w:rPr>
        <w:t xml:space="preserve">                                                                                        </w:t>
      </w:r>
      <w:r>
        <w:rPr>
          <w:sz w:val="28"/>
          <w:szCs w:val="28"/>
          <w:highlight w:val="none"/>
        </w:rPr>
        <w:t xml:space="preserve">  Д.А. Кощенко</w:t>
      </w:r>
      <w:r>
        <w:rPr>
          <w:highlight w:val="none"/>
        </w:rPr>
      </w:r>
      <w:r/>
    </w:p>
    <w:p>
      <w:pPr>
        <w:pStyle w:val="846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46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  <w:r/>
    </w:p>
    <w:p>
      <w:pPr>
        <w:pStyle w:val="846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______________ № _____</w:t>
      </w:r>
      <w:r>
        <w:rPr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pStyle w:val="846"/>
        <w:jc w:val="center"/>
        <w:rPr>
          <w:highlight w:val="none"/>
        </w:rPr>
      </w:pPr>
      <w:r>
        <w:rPr>
          <w:b/>
          <w:sz w:val="28"/>
          <w:szCs w:val="28"/>
          <w:highlight w:val="none"/>
        </w:rPr>
        <w:t xml:space="preserve">Изменения,</w:t>
      </w:r>
      <w:r>
        <w:rPr>
          <w:highlight w:val="none"/>
        </w:rPr>
      </w:r>
      <w:r/>
    </w:p>
    <w:p>
      <w:pPr>
        <w:pStyle w:val="846"/>
        <w:jc w:val="center"/>
        <w:rPr>
          <w:highlight w:val="none"/>
        </w:rPr>
      </w:pPr>
      <w:r>
        <w:rPr>
          <w:b/>
          <w:sz w:val="28"/>
          <w:szCs w:val="28"/>
          <w:highlight w:val="none"/>
        </w:rPr>
        <w:t xml:space="preserve">ко</w:t>
      </w:r>
      <w:r>
        <w:rPr>
          <w:b/>
          <w:sz w:val="28"/>
          <w:szCs w:val="28"/>
          <w:highlight w:val="none"/>
        </w:rPr>
        <w:t xml:space="preserve">торые вносятся </w:t>
      </w:r>
      <w:r>
        <w:rPr>
          <w:highlight w:val="none"/>
        </w:rPr>
      </w:r>
      <w:r/>
    </w:p>
    <w:p>
      <w:pPr>
        <w:pStyle w:val="846"/>
        <w:jc w:val="center"/>
        <w:rPr>
          <w:highlight w:val="none"/>
        </w:rPr>
      </w:pPr>
      <w:r>
        <w:rPr>
          <w:b/>
          <w:sz w:val="28"/>
          <w:szCs w:val="28"/>
          <w:highlight w:val="none"/>
        </w:rPr>
        <w:t xml:space="preserve">в постановление а</w:t>
      </w:r>
      <w:r>
        <w:rPr>
          <w:b/>
          <w:sz w:val="28"/>
          <w:szCs w:val="28"/>
          <w:highlight w:val="none"/>
        </w:rPr>
        <w:t xml:space="preserve">д</w:t>
      </w:r>
      <w:r>
        <w:rPr>
          <w:b/>
          <w:sz w:val="28"/>
          <w:szCs w:val="28"/>
          <w:highlight w:val="none"/>
        </w:rPr>
        <w:t xml:space="preserve">минис</w:t>
      </w:r>
      <w:r>
        <w:rPr>
          <w:b/>
          <w:sz w:val="28"/>
          <w:szCs w:val="28"/>
          <w:highlight w:val="none"/>
        </w:rPr>
        <w:t xml:space="preserve">трации города от 02.09.2019 №729 </w:t>
      </w:r>
      <w:r>
        <w:rPr>
          <w:highlight w:val="none"/>
        </w:rPr>
      </w:r>
      <w:r/>
    </w:p>
    <w:p>
      <w:pPr>
        <w:pStyle w:val="846"/>
        <w:jc w:val="center"/>
        <w:rPr>
          <w:highlight w:val="none"/>
        </w:rPr>
      </w:pPr>
      <w:r>
        <w:rPr>
          <w:b/>
          <w:sz w:val="28"/>
          <w:szCs w:val="28"/>
          <w:highlight w:val="none"/>
        </w:rPr>
        <w:t xml:space="preserve">"Об утверждении норм расходов при проведении </w:t>
      </w:r>
      <w:r>
        <w:rPr>
          <w:highlight w:val="none"/>
        </w:rPr>
      </w:r>
      <w:r/>
    </w:p>
    <w:p>
      <w:pPr>
        <w:pStyle w:val="846"/>
        <w:jc w:val="center"/>
        <w:rPr>
          <w:highlight w:val="none"/>
        </w:rPr>
      </w:pPr>
      <w:r>
        <w:rPr>
          <w:b/>
          <w:sz w:val="28"/>
          <w:szCs w:val="28"/>
          <w:highlight w:val="none"/>
        </w:rPr>
        <w:t xml:space="preserve">и участии в официальных физкультурных мероприятиях </w:t>
      </w:r>
      <w:r>
        <w:rPr>
          <w:highlight w:val="none"/>
        </w:rPr>
      </w:r>
      <w:r/>
    </w:p>
    <w:p>
      <w:pPr>
        <w:pStyle w:val="846"/>
        <w:jc w:val="center"/>
        <w:rPr>
          <w:highlight w:val="none"/>
        </w:rPr>
      </w:pPr>
      <w:r>
        <w:rPr>
          <w:b/>
          <w:sz w:val="28"/>
          <w:szCs w:val="28"/>
          <w:highlight w:val="none"/>
        </w:rPr>
        <w:t xml:space="preserve">и спортивных мероприятиях" </w:t>
      </w:r>
      <w:r>
        <w:rPr>
          <w:highlight w:val="none"/>
        </w:rPr>
      </w:r>
      <w:r/>
    </w:p>
    <w:p>
      <w:pPr>
        <w:pStyle w:val="846"/>
        <w:jc w:val="center"/>
        <w:rPr>
          <w:bCs/>
          <w:highlight w:val="none"/>
        </w:rPr>
      </w:pPr>
      <w:r>
        <w:rPr>
          <w:b/>
          <w:sz w:val="28"/>
          <w:szCs w:val="28"/>
          <w:highlight w:val="none"/>
        </w:rPr>
        <w:t xml:space="preserve">(с изменениями от 28.02.2020 №166, 02.06.2022 №355, 20.03.2023 №222)</w:t>
      </w:r>
      <w:r>
        <w:rPr>
          <w:highlight w:val="none"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846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Пункт 3 изложить в следующей редакции:</w:t>
      </w:r>
      <w:r>
        <w:rPr>
          <w:highlight w:val="none"/>
        </w:rPr>
      </w:r>
      <w:r/>
    </w:p>
    <w:p>
      <w:pPr>
        <w:ind w:firstLine="709"/>
        <w:jc w:val="both"/>
        <w:rPr>
          <w:b/>
          <w:bCs/>
          <w:sz w:val="28"/>
          <w:szCs w:val="28"/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3. Финансирование </w:t>
      </w:r>
      <w:r>
        <w:rPr>
          <w:sz w:val="28"/>
          <w:szCs w:val="28"/>
          <w:highlight w:val="none"/>
        </w:rPr>
        <w:t xml:space="preserve">расходов, связанных с реализацией настоящего постановления, осуществляется в пределах доведенного объема бюджетных ассигнований и лимитов бюджетных обязательств на реализацию мероприятий муниципальной программы "Развитие социальной сферы гор</w:t>
      </w:r>
      <w:r>
        <w:rPr>
          <w:sz w:val="28"/>
          <w:szCs w:val="28"/>
          <w:highlight w:val="none"/>
        </w:rPr>
        <w:t xml:space="preserve">ода Нижневартовска", утвержденной постановлением администрации города </w:t>
        <w:br/>
        <w:t xml:space="preserve">от 24.09.2024 №849, и иных источников финансирования, не запрещенных законодательством Российской Федерации</w:t>
      </w:r>
      <w:r>
        <w:rPr>
          <w:sz w:val="28"/>
          <w:szCs w:val="28"/>
          <w:highlight w:val="none"/>
        </w:rPr>
        <w:t xml:space="preserve">."</w:t>
      </w:r>
      <w:r>
        <w:rPr>
          <w:highlight w:val="none"/>
        </w:rPr>
        <w:t xml:space="preserve">.</w:t>
      </w:r>
      <w:r/>
    </w:p>
    <w:p>
      <w:pPr>
        <w:ind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 В подпункте 3.5 пункта 3 слова </w:t>
      </w:r>
      <w:r>
        <w:rPr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юджетного учреждения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Ханты-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Мансийского автономного округа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Югры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Центр адаптивного спорта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"бюджетного учреждения дополнительного образования 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"Спортивная школа Паралимпийского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Сурдлимпийского резерва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Центр адаптивного спорта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Югры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3</w:t>
      </w:r>
      <w:r>
        <w:rPr>
          <w:b w:val="0"/>
          <w:bCs w:val="0"/>
          <w:sz w:val="28"/>
          <w:szCs w:val="28"/>
          <w:highlight w:val="none"/>
        </w:rPr>
        <w:t xml:space="preserve">. В </w:t>
      </w:r>
      <w:r>
        <w:rPr>
          <w:b w:val="0"/>
          <w:bCs w:val="0"/>
          <w:sz w:val="28"/>
          <w:szCs w:val="28"/>
          <w:highlight w:val="none"/>
        </w:rPr>
        <w:t xml:space="preserve">пункте 7</w:t>
      </w:r>
      <w:r>
        <w:rPr>
          <w:b w:val="0"/>
          <w:bCs w:val="0"/>
          <w:sz w:val="28"/>
          <w:szCs w:val="28"/>
          <w:highlight w:val="none"/>
        </w:rPr>
        <w:t xml:space="preserve"> слова </w:t>
      </w:r>
      <w:r>
        <w:rPr>
          <w:b w:val="0"/>
          <w:bCs w:val="0"/>
          <w:sz w:val="28"/>
          <w:szCs w:val="28"/>
          <w:highlight w:val="none"/>
        </w:rPr>
        <w:t xml:space="preserve">"И.О. Воликовскую" исключить.</w:t>
      </w:r>
      <w:r>
        <w:rPr>
          <w:highlight w:val="none"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846"/>
        <w:ind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</w:t>
      </w:r>
      <w:r>
        <w:rPr>
          <w:sz w:val="28"/>
          <w:szCs w:val="28"/>
          <w:highlight w:val="none"/>
        </w:rPr>
        <w:t xml:space="preserve">иложение 5 изложить в </w:t>
      </w:r>
      <w:r>
        <w:rPr>
          <w:sz w:val="28"/>
          <w:szCs w:val="28"/>
          <w:highlight w:val="none"/>
        </w:rPr>
        <w:t xml:space="preserve">следующей</w:t>
      </w:r>
      <w:r>
        <w:rPr>
          <w:sz w:val="28"/>
          <w:szCs w:val="28"/>
          <w:highlight w:val="none"/>
        </w:rPr>
        <w:t xml:space="preserve"> редакции</w:t>
      </w:r>
      <w:r>
        <w:rPr>
          <w:sz w:val="28"/>
          <w:szCs w:val="28"/>
          <w:highlight w:val="none"/>
        </w:rPr>
        <w:t xml:space="preserve">:</w:t>
      </w:r>
      <w:r>
        <w:rPr>
          <w:highlight w:val="none"/>
        </w:rPr>
      </w:r>
      <w:r/>
    </w:p>
    <w:p>
      <w:pPr>
        <w:pStyle w:val="846"/>
        <w:jc w:val="center"/>
        <w:rPr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Нормы расходов</w:t>
      </w:r>
      <w:r>
        <w:rPr>
          <w:highlight w:val="none"/>
        </w:rPr>
      </w:r>
      <w:r/>
    </w:p>
    <w:p>
      <w:pPr>
        <w:pStyle w:val="846"/>
        <w:jc w:val="center"/>
        <w:rPr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на организацию питания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членов спортивных сборных команд </w:t>
      </w:r>
      <w:r>
        <w:rPr>
          <w:highlight w:val="none"/>
        </w:rPr>
      </w:r>
      <w:r/>
    </w:p>
    <w:p>
      <w:pPr>
        <w:pStyle w:val="846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города Нижневартовска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при проведении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официальны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</w:t>
      </w:r>
      <w:r>
        <w:rPr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физкультурных мероприятий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спортивны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й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tbl>
      <w:tblPr>
        <w:tblStyle w:val="70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6094"/>
        <w:gridCol w:w="2835"/>
      </w:tblGrid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№ п/п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60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Наименование расходов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Расходы на одного человека в день (руб.)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1.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60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Питание членов спортивных сборных команд города Нижневартовска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1000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2.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60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Питьевой режим во время проведения официальных физкультурных мероприятий </w:t>
              <w:br/>
              <w:t xml:space="preserve">и спортивных мероприятий 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35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</w:tbl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4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Примечание: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highlight w:val="none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Питание осуществляется во все дни, включая дни проверки спортивных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снарядов, контрольных тренировок, квалификационного отбора и иных мероприятий, предусмотренных положением (регламентом) о проведении официальных спортивных мероприятий, а также в пути следования к месту </w:t>
        <w:br/>
        <w:t xml:space="preserve">их проведения и обратно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том числе набор пищевых продуктов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сухой паек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highlight w:val="none"/>
        </w:rPr>
        <w:t xml:space="preserve">*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).</w:t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Фактические расходы на одного человека в день могут отличаться </w:t>
        <w:br/>
        <w:t xml:space="preserve">от норматива, при этом совокупные расходы на обеспечение питанием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участников официальных спортивных мероприятий не могут превышать расчетную величину исходя из норматива, фактического количества участников и фактического количества дней, принимаемых к расчету в рамках конкретного официального спортивного мероприятия.</w:t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ля спортсменов, имеющих вес больше 90 кг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рост свыше 190 см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мужчины (юноши)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вес больше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 кг и (или) рост свыше 180 см 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женщины (девушки)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рацион питания рекомендуется увеличивать в пределах полуторной нормы (примечание распространяется на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ункт 1 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астоящего приложения)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4. При невозможности обеспечения тренера, тренера-преподавателя или и</w:t>
      </w:r>
      <w:r>
        <w:rPr>
          <w:b w:val="0"/>
          <w:bCs w:val="0"/>
          <w:sz w:val="28"/>
          <w:szCs w:val="28"/>
          <w:highlight w:val="none"/>
        </w:rPr>
        <w:t xml:space="preserve">н</w:t>
      </w:r>
      <w:r>
        <w:rPr>
          <w:b w:val="0"/>
          <w:bCs w:val="0"/>
          <w:sz w:val="28"/>
          <w:szCs w:val="28"/>
          <w:highlight w:val="none"/>
        </w:rPr>
        <w:t xml:space="preserve">ого специалиста, входящего в состав сборной команды города Нижневартовска, полностью или частично необходимым питанием расходы на его обеспечение могут быть заменены выплатой в размере фактически понесенных расходов, </w:t>
        <w:br/>
        <w:t xml:space="preserve">но не более размеров, установленных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ункте 1 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астоящего приложения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5.</w:t>
      </w:r>
      <w:r>
        <w:rPr>
          <w:b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При невозможности обеспечения спортсменов полно</w:t>
      </w:r>
      <w:r>
        <w:rPr>
          <w:b w:val="0"/>
          <w:bCs w:val="0"/>
          <w:sz w:val="28"/>
          <w:szCs w:val="28"/>
          <w:highlight w:val="none"/>
        </w:rPr>
        <w:t xml:space="preserve">стью или частично необходимым питанием предусматривается выплата спортсменам компенсации для самостоятельной организации питания (под контролем тренера, тренера-преподавателя) в размере фактически понесенных расходов, но не более размеров, </w:t>
      </w:r>
      <w:r>
        <w:rPr>
          <w:b w:val="0"/>
          <w:bCs w:val="0"/>
          <w:sz w:val="28"/>
          <w:szCs w:val="28"/>
          <w:highlight w:val="none"/>
        </w:rPr>
        <w:t xml:space="preserve">установленных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ункте 1 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астоящего приложения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* 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остав набора пищевых продуктов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сухой паек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устанавливается локальным актом муниципального учреждения физической культуры и спорта, подведомственного департаменту по социальной политике администрации города.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right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"</w:t>
      </w:r>
      <w:r>
        <w:rPr>
          <w:highlight w:val="none"/>
        </w:rPr>
        <w:t xml:space="preserve">.</w:t>
      </w:r>
      <w:r/>
    </w:p>
    <w:p>
      <w:pPr>
        <w:pStyle w:val="846"/>
        <w:ind w:firstLine="709"/>
        <w:jc w:val="both"/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</w:t>
      </w:r>
      <w:r>
        <w:rPr>
          <w:sz w:val="28"/>
          <w:szCs w:val="28"/>
          <w:highlight w:val="none"/>
        </w:rPr>
        <w:t xml:space="preserve">иложение 6 изложить в </w:t>
      </w:r>
      <w:r>
        <w:rPr>
          <w:sz w:val="28"/>
          <w:szCs w:val="28"/>
          <w:highlight w:val="none"/>
        </w:rPr>
        <w:t xml:space="preserve">следующей</w:t>
      </w:r>
      <w:r>
        <w:rPr>
          <w:sz w:val="28"/>
          <w:szCs w:val="28"/>
          <w:highlight w:val="none"/>
        </w:rPr>
        <w:t xml:space="preserve"> редакции</w:t>
      </w:r>
      <w:r>
        <w:rPr>
          <w:sz w:val="28"/>
          <w:szCs w:val="28"/>
          <w:highlight w:val="none"/>
        </w:rPr>
        <w:t xml:space="preserve">:</w:t>
      </w:r>
      <w:r>
        <w:rPr>
          <w:highlight w:val="none"/>
        </w:rPr>
      </w:r>
      <w:r/>
    </w:p>
    <w:p>
      <w:pPr>
        <w:pStyle w:val="846"/>
        <w:jc w:val="center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Нормы расходов</w:t>
      </w:r>
      <w:r>
        <w:rPr>
          <w:highlight w:val="none"/>
        </w:rPr>
      </w:r>
      <w:r/>
    </w:p>
    <w:p>
      <w:pPr>
        <w:pStyle w:val="84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проживание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членов спортивных сборных команд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4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Нижневартовска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официальных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спортивных мероприятий,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учебно-тренировочных мероприятий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 пределами территории города Нижневартовска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</w:pPr>
      <w:r>
        <w:rPr>
          <w:highlight w:val="none"/>
        </w:rPr>
      </w:r>
      <w:r>
        <w:rPr>
          <w:highlight w:val="none"/>
        </w:rPr>
      </w:r>
      <w:r/>
    </w:p>
    <w:tbl>
      <w:tblPr>
        <w:tblStyle w:val="70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6094"/>
        <w:gridCol w:w="2835"/>
      </w:tblGrid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№ п/п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6094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Место проживания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Расходы на одного человека в день (руб.)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1.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6094" w:type="dxa"/>
            <w:textDirection w:val="lrTb"/>
            <w:noWrap w:val="false"/>
          </w:tcPr>
          <w:p>
            <w:pPr>
              <w:pStyle w:val="846"/>
              <w:jc w:val="both"/>
              <w:tabs>
                <w:tab w:val="left" w:pos="4763" w:leader="none"/>
              </w:tabs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Гостиницы,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общежития, хостелы,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базы, центры,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находящиеся </w:t>
              <w:br/>
              <w:t xml:space="preserve">в субъектах Российской Федерации</w:t>
            </w:r>
            <w:r>
              <w:tab/>
            </w:r>
            <w:r/>
          </w:p>
          <w:p>
            <w:pPr>
              <w:jc w:val="both"/>
              <w:tabs>
                <w:tab w:val="left" w:pos="4763" w:leader="none"/>
              </w:tabs>
              <w:rPr>
                <w:rFonts w:ascii="Times New Roman" w:hAnsi="Times New Roman" w:cs="Times New Roman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до 2500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2.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W w:w="6094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Гостиницы,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общежития, хостелы,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базы, центры, находящиеся </w:t>
              <w:br/>
              <w:t xml:space="preserve">в ведении Минспорта России, Хабаровском </w:t>
              <w:br/>
              <w:t xml:space="preserve">и Приморском краях, районах Крайнего Севера и местностях, приравненных к районам Крайнего Севера,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ородах Москве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Санкт-Петербург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до 4500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</w:tbl>
    <w:p>
      <w:pPr>
        <w:jc w:val="right"/>
      </w:pPr>
      <w:r>
        <w:rPr>
          <w:highlight w:val="none"/>
        </w:rPr>
      </w:r>
      <w:r>
        <w:rPr>
          <w:sz w:val="28"/>
          <w:szCs w:val="28"/>
          <w:highlight w:val="none"/>
        </w:rPr>
        <w:t xml:space="preserve">"</w:t>
      </w:r>
      <w:r>
        <w:rPr>
          <w:highlight w:val="none"/>
        </w:rPr>
        <w:t xml:space="preserve">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70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46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pStyle w:val="846"/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6"/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pStyle w:val="846"/>
        <w:ind w:left="16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46"/>
        <w:ind w:left="25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46"/>
        <w:ind w:left="38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46"/>
        <w:ind w:left="48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46"/>
        <w:ind w:left="6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46"/>
        <w:ind w:left="74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46"/>
        <w:ind w:left="83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46"/>
        <w:ind w:left="9632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6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6"/>
        <w:ind w:left="612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46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46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720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pStyle w:val="846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46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720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46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4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46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46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720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46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46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6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6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6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6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6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6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6"/>
        <w:ind w:left="720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6"/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pStyle w:val="846"/>
        <w:ind w:left="16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46"/>
        <w:ind w:left="25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46"/>
        <w:ind w:left="38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46"/>
        <w:ind w:left="48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46"/>
        <w:ind w:left="6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46"/>
        <w:ind w:left="74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46"/>
        <w:ind w:left="83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46"/>
        <w:ind w:left="9632" w:hanging="21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846"/>
    <w:link w:val="846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47">
    <w:name w:val="Заголовок 1"/>
    <w:basedOn w:val="846"/>
    <w:next w:val="846"/>
    <w:link w:val="855"/>
    <w:qFormat/>
    <w:pPr>
      <w:jc w:val="center"/>
      <w:keepNext/>
      <w:outlineLvl w:val="0"/>
    </w:pPr>
    <w:rPr>
      <w:b/>
      <w:bCs/>
      <w:sz w:val="28"/>
    </w:rPr>
  </w:style>
  <w:style w:type="paragraph" w:styleId="848">
    <w:name w:val="Заголовок 2"/>
    <w:basedOn w:val="846"/>
    <w:next w:val="846"/>
    <w:link w:val="873"/>
    <w:uiPriority w:val="9"/>
    <w:semiHidden/>
    <w:unhideWhenUsed/>
    <w:qFormat/>
    <w:pPr>
      <w:keepLines/>
      <w:keepNext/>
      <w:spacing w:before="20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849">
    <w:name w:val="Заголовок 3"/>
    <w:basedOn w:val="846"/>
    <w:next w:val="846"/>
    <w:link w:val="877"/>
    <w:uiPriority w:val="9"/>
    <w:unhideWhenUsed/>
    <w:qFormat/>
    <w:pPr>
      <w:ind w:firstLine="709"/>
      <w:jc w:val="both"/>
      <w:keepNext/>
      <w:spacing w:before="240" w:after="60" w:line="360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850">
    <w:name w:val="Заголовок 5"/>
    <w:basedOn w:val="846"/>
    <w:next w:val="846"/>
    <w:link w:val="856"/>
    <w:qFormat/>
    <w:pPr>
      <w:jc w:val="center"/>
      <w:keepNext/>
      <w:outlineLvl w:val="4"/>
    </w:pPr>
    <w:rPr>
      <w:sz w:val="28"/>
    </w:rPr>
  </w:style>
  <w:style w:type="paragraph" w:styleId="851">
    <w:name w:val="Заголовок 8"/>
    <w:basedOn w:val="846"/>
    <w:next w:val="846"/>
    <w:link w:val="857"/>
    <w:qFormat/>
    <w:pPr>
      <w:jc w:val="center"/>
      <w:keepNext/>
      <w:outlineLvl w:val="7"/>
    </w:pPr>
    <w:rPr>
      <w:b/>
      <w:szCs w:val="20"/>
    </w:rPr>
  </w:style>
  <w:style w:type="character" w:styleId="852">
    <w:name w:val="Основной шрифт абзаца"/>
    <w:next w:val="852"/>
    <w:link w:val="846"/>
    <w:uiPriority w:val="1"/>
    <w:semiHidden/>
    <w:unhideWhenUsed/>
  </w:style>
  <w:style w:type="table" w:styleId="853">
    <w:name w:val="Обычная таблица"/>
    <w:next w:val="853"/>
    <w:link w:val="846"/>
    <w:uiPriority w:val="99"/>
    <w:semiHidden/>
    <w:unhideWhenUsed/>
    <w:tblPr/>
  </w:style>
  <w:style w:type="numbering" w:styleId="854">
    <w:name w:val="Нет списка"/>
    <w:next w:val="854"/>
    <w:link w:val="846"/>
    <w:uiPriority w:val="99"/>
    <w:semiHidden/>
    <w:unhideWhenUsed/>
  </w:style>
  <w:style w:type="character" w:styleId="855">
    <w:name w:val="Заголовок 1 Знак"/>
    <w:next w:val="855"/>
    <w:link w:val="847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56">
    <w:name w:val="Заголовок 5 Знак"/>
    <w:next w:val="856"/>
    <w:link w:val="85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57">
    <w:name w:val="Заголовок 8 Знак"/>
    <w:next w:val="857"/>
    <w:link w:val="851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58">
    <w:name w:val="Обычный (веб)"/>
    <w:basedOn w:val="846"/>
    <w:next w:val="858"/>
    <w:link w:val="846"/>
    <w:pPr>
      <w:spacing w:before="100" w:beforeAutospacing="1" w:after="100" w:afterAutospacing="1"/>
    </w:pPr>
    <w:rPr>
      <w:color w:val="000000"/>
    </w:rPr>
  </w:style>
  <w:style w:type="paragraph" w:styleId="859">
    <w:name w:val="Без интервала1"/>
    <w:next w:val="859"/>
    <w:link w:val="846"/>
    <w:rPr>
      <w:rFonts w:eastAsia="Times New Roman"/>
      <w:sz w:val="22"/>
      <w:szCs w:val="22"/>
      <w:lang w:val="ru-RU" w:eastAsia="ru-RU" w:bidi="ar-SA"/>
    </w:rPr>
  </w:style>
  <w:style w:type="paragraph" w:styleId="860">
    <w:name w:val="Абзац списка"/>
    <w:basedOn w:val="846"/>
    <w:next w:val="860"/>
    <w:link w:val="846"/>
    <w:uiPriority w:val="34"/>
    <w:qFormat/>
    <w:pPr>
      <w:contextualSpacing/>
      <w:ind w:left="720"/>
    </w:pPr>
  </w:style>
  <w:style w:type="table" w:styleId="861">
    <w:name w:val="Сетка таблицы"/>
    <w:basedOn w:val="853"/>
    <w:next w:val="861"/>
    <w:link w:val="846"/>
    <w:uiPriority w:val="59"/>
    <w:pPr>
      <w:spacing w:after="0" w:line="240" w:lineRule="auto"/>
    </w:pPr>
    <w:tblPr/>
  </w:style>
  <w:style w:type="paragraph" w:styleId="862">
    <w:name w:val="Текст выноски"/>
    <w:basedOn w:val="846"/>
    <w:next w:val="862"/>
    <w:link w:val="863"/>
    <w:uiPriority w:val="99"/>
    <w:semiHidden/>
    <w:unhideWhenUsed/>
    <w:rPr>
      <w:rFonts w:ascii="Tahoma" w:hAnsi="Tahoma" w:cs="Tahoma"/>
      <w:sz w:val="16"/>
      <w:szCs w:val="16"/>
    </w:rPr>
  </w:style>
  <w:style w:type="character" w:styleId="863">
    <w:name w:val="Текст выноски Знак"/>
    <w:next w:val="863"/>
    <w:link w:val="86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4">
    <w:name w:val="Верхний колонтитул"/>
    <w:basedOn w:val="846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Верхний колонтитул Знак"/>
    <w:next w:val="865"/>
    <w:link w:val="86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6">
    <w:name w:val="Основной текст"/>
    <w:basedOn w:val="846"/>
    <w:next w:val="866"/>
    <w:link w:val="867"/>
    <w:uiPriority w:val="99"/>
    <w:unhideWhenUsed/>
    <w:pPr>
      <w:spacing w:after="120"/>
    </w:pPr>
  </w:style>
  <w:style w:type="character" w:styleId="867">
    <w:name w:val="Основной текст Знак"/>
    <w:next w:val="867"/>
    <w:link w:val="86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8">
    <w:name w:val="Нижний колонтитул"/>
    <w:basedOn w:val="846"/>
    <w:next w:val="868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next w:val="869"/>
    <w:link w:val="86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0">
    <w:name w:val="Основной текст с отступом"/>
    <w:basedOn w:val="846"/>
    <w:next w:val="870"/>
    <w:link w:val="871"/>
    <w:semiHidden/>
    <w:unhideWhenUsed/>
    <w:pPr>
      <w:ind w:left="283"/>
      <w:spacing w:after="120"/>
    </w:pPr>
  </w:style>
  <w:style w:type="character" w:styleId="871">
    <w:name w:val="Основной текст с отступом Знак"/>
    <w:next w:val="871"/>
    <w:link w:val="870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2">
    <w:name w:val="Гиперссылка"/>
    <w:next w:val="872"/>
    <w:link w:val="846"/>
    <w:rPr>
      <w:color w:val="0000ff"/>
      <w:u w:val="single"/>
    </w:rPr>
  </w:style>
  <w:style w:type="character" w:styleId="873">
    <w:name w:val="Заголовок 2 Знак"/>
    <w:next w:val="873"/>
    <w:link w:val="848"/>
    <w:uiPriority w:val="9"/>
    <w:semiHidden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styleId="874">
    <w:name w:val="ConsPlusCell"/>
    <w:next w:val="874"/>
    <w:link w:val="846"/>
    <w:rPr>
      <w:rFonts w:ascii="Arial" w:hAnsi="Arial" w:eastAsia="Times New Roman" w:cs="Arial"/>
      <w:lang w:val="ru-RU" w:eastAsia="ru-RU" w:bidi="ar-SA"/>
    </w:rPr>
  </w:style>
  <w:style w:type="paragraph" w:styleId="875">
    <w:name w:val="Без интервала"/>
    <w:next w:val="875"/>
    <w:link w:val="846"/>
    <w:uiPriority w:val="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76">
    <w:name w:val="ConsPlusNormal"/>
    <w:next w:val="876"/>
    <w:link w:val="846"/>
    <w:rPr>
      <w:rFonts w:ascii="Times New Roman" w:hAnsi="Times New Roman"/>
      <w:sz w:val="24"/>
      <w:szCs w:val="24"/>
      <w:lang w:val="ru-RU" w:eastAsia="ru-RU" w:bidi="ar-SA"/>
    </w:rPr>
  </w:style>
  <w:style w:type="character" w:styleId="877">
    <w:name w:val="Заголовок 3 Знак"/>
    <w:next w:val="877"/>
    <w:link w:val="849"/>
    <w:uiPriority w:val="9"/>
    <w:rPr>
      <w:rFonts w:ascii="Cambria" w:hAnsi="Cambria" w:eastAsia="Times New Roman"/>
      <w:b/>
      <w:bCs/>
      <w:sz w:val="26"/>
      <w:szCs w:val="26"/>
      <w:lang w:eastAsia="en-US"/>
    </w:r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revision>87</cp:revision>
  <dcterms:created xsi:type="dcterms:W3CDTF">2018-07-12T05:07:00Z</dcterms:created>
  <dcterms:modified xsi:type="dcterms:W3CDTF">2025-01-14T06:21:52Z</dcterms:modified>
  <cp:version>1048576</cp:version>
</cp:coreProperties>
</file>