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2124" w:right="4819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71"/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1"/>
        <w:ind w:firstLine="1066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71"/>
        <w:ind w:firstLine="10660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pStyle w:val="871"/>
        <w:ind w:right="467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</w:t>
      </w:r>
      <w:r>
        <w:rPr>
          <w:rFonts w:ascii="Times New Roman" w:hAnsi="Times New Roman"/>
          <w:sz w:val="24"/>
          <w:szCs w:val="24"/>
        </w:rPr>
        <w:t xml:space="preserve">й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остановлени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администрации города от 14.12.2018 №1436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</w:rPr>
        <w:t xml:space="preserve">Укрепление межнационального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межконфессионального согласия, профилактика экстремизма и терроризма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в городе Нижневартовске"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(с изменениями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от 21.05.2019 №378, 19.07.2019 №563, 16.01.2020 №29, 18.03.2020 №235,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27.07.2020 №642, 11.12.2020 №1057, 15.02.2021 №110, 31.03.2021 №266, 28.06.2021 №526, 22.12.2021 №1012, 22.02.2022 №89, 18.08.2022 №584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14.11.2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022 №807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13.02.2023 №104)</w:t>
      </w:r>
      <w:r>
        <w:rPr>
          <w:sz w:val="22"/>
          <w:szCs w:val="22"/>
        </w:rPr>
      </w:r>
      <w:r/>
    </w:p>
    <w:p>
      <w:pPr>
        <w:pStyle w:val="871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sz w:val="22"/>
          <w:szCs w:val="22"/>
        </w:rPr>
      </w:r>
      <w:r/>
    </w:p>
    <w:p>
      <w:pPr>
        <w:pStyle w:val="871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связи со структурными изменениями администрации города, </w:t>
        <w:br w:type="textWrapping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целях приведения муниципального правового акта в соответствие с действующим законодательством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83"/>
        <w:numPr>
          <w:ilvl w:val="0"/>
          <w:numId w:val="14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изменения в постановление администрации города </w:t>
        <w:br w:type="textWrapping" w:clear="all"/>
        <w:t xml:space="preserve">от 14.12.2018 №1436 "Об утверждении муниципальной программы "Укрепление межнационального и межкон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фессионального согласия, профилактика экстремизма и терроризма в городе Нижневартовске" </w:t>
        <w:br w:type="textWrapping" w:clear="all"/>
        <w:t xml:space="preserve">(с изменениями от 21.05.2019 №378, 19.07.2019 №563, 16.01.2020 №29, 18.03.2020 №235, 27.07.2020 №642, 11.12.2020 №1057, 15.02.2021 №110, 31.03.2021 №266, 28.06.2021 №5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26, 22.12.2021 №1012, 22.02.2022 №89, 18.08.2022 №584, 14.11.2022 №807, 13.02.2023 №104):</w:t>
      </w:r>
      <w:r/>
    </w:p>
    <w:p>
      <w:pPr>
        <w:pStyle w:val="883"/>
        <w:numPr>
          <w:ilvl w:val="1"/>
          <w:numId w:val="16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заголовке и в пункте 1 слова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терроризма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исключить;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883"/>
        <w:numPr>
          <w:ilvl w:val="1"/>
          <w:numId w:val="16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В Преамбуле слова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06.03.2006 №35-ФЗ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противодействии терроризму,"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терроризма, создания условий для комплексной антитеррористической безопасности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исключить;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883"/>
        <w:numPr>
          <w:ilvl w:val="1"/>
          <w:numId w:val="16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пункте 5 слова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Н.В. Лукаша"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заменить словами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О.Н. Хотинецкого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883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1.4.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согласно приложени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к настоящему постано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влению.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883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871"/>
        <w:numPr>
          <w:ilvl w:val="0"/>
          <w:numId w:val="16"/>
        </w:numPr>
        <w:ind w:left="0"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Департаменту общественных коммуникаций и молодежной политики администрации города (О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.В. Котова) обеспечить официальное опубликование постановления.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Д.А. Кощенко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70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</w:t>
      </w:r>
      <w:r/>
    </w:p>
    <w:p>
      <w:pPr>
        <w:pStyle w:val="871"/>
        <w:ind w:left="10915" w:hanging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pStyle w:val="871"/>
        <w:ind w:left="10915" w:hanging="709"/>
        <w:spacing w:after="0" w:line="240" w:lineRule="auto"/>
        <w:tabs>
          <w:tab w:val="left" w:pos="1077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Муниципальная программа 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"Укрепление межнационального и межконфессионального согласия, 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офилактика экстремизма в городе Нижневартовске"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Паспорт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муниципальной программы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"Укрепление межнационального и межконфессионального согласия, 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профилактика экстремизма в городе Нижневартовске"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tbl>
      <w:tblPr>
        <w:tblW w:w="15168" w:type="dxa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285"/>
        <w:gridCol w:w="1416"/>
        <w:gridCol w:w="852"/>
        <w:gridCol w:w="567"/>
        <w:gridCol w:w="265"/>
        <w:gridCol w:w="443"/>
        <w:gridCol w:w="390"/>
        <w:gridCol w:w="245"/>
        <w:gridCol w:w="588"/>
        <w:gridCol w:w="47"/>
        <w:gridCol w:w="635"/>
        <w:gridCol w:w="151"/>
        <w:gridCol w:w="484"/>
        <w:gridCol w:w="349"/>
        <w:gridCol w:w="230"/>
        <w:gridCol w:w="603"/>
        <w:gridCol w:w="88"/>
        <w:gridCol w:w="635"/>
        <w:gridCol w:w="110"/>
        <w:gridCol w:w="525"/>
        <w:gridCol w:w="308"/>
        <w:gridCol w:w="327"/>
        <w:gridCol w:w="506"/>
        <w:gridCol w:w="129"/>
        <w:gridCol w:w="635"/>
        <w:gridCol w:w="69"/>
        <w:gridCol w:w="601"/>
        <w:gridCol w:w="232"/>
        <w:gridCol w:w="902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Наименование муниципальной программы </w:t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Укрепление межнациональ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ного и межконфессионального согласия, профилактика экстремизма в городе Нижневартовске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Сроки реализации муниципальной программы</w:t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2019-2030 годы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Тип муниципальной программы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Муниципальная программа</w:t>
            </w:r>
            <w:r/>
          </w:p>
        </w:tc>
      </w:tr>
      <w:tr>
        <w:trPr>
          <w:trHeight w:val="371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Куратор муниципальной программы 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Заместитель главы город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а,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в ведении которого находится департамент общественных коммуникаций и молодежной политики администрации города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Ответственный исполнитель муниципальной программы </w:t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Департамент общественных коммуникаций и молодежной политики администрации города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Соисполнители муниципальной программы </w:t>
            </w:r>
            <w:r>
              <w:rPr>
                <w:highlight w:val="white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Управление по вопросам законности, правопорядка и безопасности администрации гор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ода;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муниципальные организации в сфере образования;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департамент по социальной политике администрации города;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муниципальные учреждения в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сфере культуры;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муниципальные учреждения в сфере физической культуры и сп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орта;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муниципальное автономное учреждение города Нижневартовска "Молодежный центр";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епартамент жилищно-коммунального хозяйства администрации города;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муниципальное бюджетное учреждение "Управление по дорожному хозяйству и благоустройству города Нижневартовска";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департамент муниципа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льной собственности и земельных ресурсов администрации города;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муниципальное казенное учреждение </w:t>
            </w: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Управление капитального строительства города Нижневартовска</w:t>
            </w: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"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Национальная цель 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Цели муниципальной программы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1. Укрепление единства, гражданского самосознания и духовной общности, сохранение и развитие этнокультурного многообразия народов Российской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 Федерации, проживающих                                    на территории города Нижневартовска.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Совершенствование мер, направленных на гармонизацию межнациональных отношений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 профилактику экстремизма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3. Создание условий для комплексной антитеррористической безопасности в городе Нижневартовске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 (реализация – до 31.12.2022)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Задачи муниципальной программы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1. Укрепление межна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Российской Феде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рации в социально-культурной сфере.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3. Содействие социокультурной интеграции и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адаптации мигра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нтов.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4. Развитие системы мер профилактики и предупреждения межэтнических, межконфессиональных конфликтов, сведение к минимуму условий для проявлений экстремизма на территории города Нижневартовска.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5.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 (реализация – до 31.12.2022).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6. 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муниципального образования (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реализация – до 31.12.2022)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Подпрограммы муниципальной программы и (или) структурные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элементы (основные мероприятия) муниципальной программы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Основные мероприятия: 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1. 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2. Содействие поддержке русского языка как государственного языка Российской Федерации и его поп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уляризации как средства межнационального общения, а также обеспечение оптимальных условий для сохранения и развития языков народов Российской Федерации, проживающих в городе.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3. Реализация комплексной информационной кампании, направленной на укрепление общ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егражданской идентичности и межнационального (межэтнического), межконфессионального                         и межкультурного взаимодействия.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4. Методическое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обеспечение и подготовка муниципальных служащих и работников муниципальных учреждений по вопросам у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а также этнокуль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турной компетентности специалистов.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5. Сохранение и популяризация самобытной казачьей культуры.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6. Организация и проведение воспитательной работы с подрастающим поколением в духе патриотизма с участием российского казачества.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7. Проведение мероприятий по с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оциокультурной интеграции и адаптации мигрантов.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8. Совершенствование системы мер, обеспечивающих уважительное отношение мигрантов к культуре и традициям принимающего сообщества.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9. Привлечение средств массовой информации к формированию положительного обра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за мигранта, популяризации легального труда мигрантов.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10. Организация и проведение воспитательной и просветительской работы среди населения города, направленной на профилактику экстремизма.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11. Проведение информационных кампаний, направленных на просвещен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ие населения муниципального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 образования в сфере профилактики экстремизма.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12. Методическое обеспечение и подготовка муниципальных служащих и работников муниципальных учреждений по вопросам профилактики экстремизма.</w:t>
            </w:r>
            <w:r/>
          </w:p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13. Обеспечение эффективного мониторинга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экстремизма.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14. Организация и проведение воспитательной и просветительской работы среди детей и молодежи, направленной на профилактику терроризма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реализация – до 31.12.2022)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15. Информирование населения муниципального образования в сфере профилактики терроризма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реализация – до 31.12.2022)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16. Методическое обеспечение и подготовка муниципальных служащих и работников муниципальных учреждений по вопросам профилактики терроризма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реализация – до 31.12.2022)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17. Повышение уровня антитеррористической защищенности муниципальных объектов 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t xml:space="preserve">реализация – до 31.12.2022)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Целевые показатели муниципальной программы</w:t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№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п/п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Наименование</w:t>
            </w:r>
            <w:r/>
          </w:p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целевого показателя</w:t>
            </w:r>
            <w:r/>
          </w:p>
        </w:tc>
        <w:tc>
          <w:tcPr>
            <w:gridSpan w:val="25"/>
            <w:tcMar>
              <w:top w:w="0" w:type="dxa"/>
              <w:bottom w:w="0" w:type="dxa"/>
            </w:tcMar>
            <w:tcW w:w="9497" w:type="dxa"/>
            <w:vAlign w:val="top"/>
            <w:textDirection w:val="lrTb"/>
            <w:noWrap w:val="false"/>
          </w:tcPr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Значение показ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ателя по годам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right="-113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базовое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значение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2019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2020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2021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2022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2023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2024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2025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2026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2027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2028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2029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2030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на момент 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окончания 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реализации 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муниципальной </w:t>
            </w:r>
            <w:r/>
          </w:p>
          <w:p>
            <w:pPr>
              <w:pStyle w:val="871"/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программы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Доля граждан, положительно оценивающих состояние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 межнациональных отношений в городе (%)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63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68,6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Численность участников мероприятий, направленных на этнокультурное развитие народов Российской Федерации, проживающих в городе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7 500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6 720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18 870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8 020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7 870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Численность участников мероприятий, направленных на укрепление общероссийского гражданского единства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630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7 590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6 530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18 740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7 840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 740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7 740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мероприятий (проектов, программ), в которых приняли          участие некоммерческие организации,       по укреплению межнационального                  и межконфессионального согласия, поддержке и развитию языков и культуры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народов Российской Федерации, проживающих на территории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муниципального образования, обеспечению социальной и культурной адаптации мигрантов и профилактике экстремизма (ед.)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18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5"/>
                <w:szCs w:val="15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5"/>
                <w:szCs w:val="15"/>
                <w:lang w:val="en-US"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val="en-US"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участников мероприятий, н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аправленных на поддержку русского языка как государственного языка Российской Федерации и средства межнационального общения народов Российской Федерации, проживающих         в муниципальном образовании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138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155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молодых людей                         в возрасте от 14 до 35 лет,            участвующих в мероприятиях                    по укреплению межнационального                 и межконфессионального согласия, поддержке и развитию языков и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1 818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1 490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00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1 700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Mar>
              <w:top w:w="0" w:type="dxa"/>
              <w:bottom w:w="0" w:type="dxa"/>
            </w:tcMar>
            <w:tcW w:w="2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муниципальных служащих   и работников муниципальных учреждений, обученных по вопросам укрепления межнационального                      и межконфессионального согласия, поддержки и развития языков и культуры народов Российской Федер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ации, проживающих на территории муниципального образования, обеспечения социальной и культурной адаптации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игрантов, профилактики экстремизма и терроризма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1 307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1 446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1 603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1 760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1 910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0"/>
        </w:trPr>
        <w:tc>
          <w:tcPr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</w:tcBorders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муниципальных служащих   и рабо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тников муниципальных учреждений, обученных по вопросам укрепления межнационального                     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ия, обеспечения социальной и культурной адаптации мигрантов, профилактики экстремизма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300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100</w:t>
            </w:r>
            <w:r/>
          </w:p>
        </w:tc>
      </w:tr>
      <w:tr>
        <w:trPr>
          <w:cantSplit/>
          <w:trHeight w:val="958"/>
        </w:trPr>
        <w:tc>
          <w:tcPr>
            <w:tcBorders>
              <w:right w:val="single" w:color="000000" w:sz="4" w:space="0"/>
            </w:tcBorders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  <w:p>
            <w:pPr>
              <w:pStyle w:val="871"/>
              <w:ind w:left="0" w:right="-57"/>
              <w:jc w:val="left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none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материалов, направленных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на формирование этнокультурной компетентности граждан и про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паганду      ценностей добрососедства                                 и взаимоуважения, профилактику экстремизма и терроризма: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  <w:p>
            <w:pPr>
              <w:pStyle w:val="871"/>
              <w:ind w:left="0" w:firstLine="0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 публикаций в городских средствах массовой информации (ед.);</w:t>
            </w:r>
            <w:r>
              <w:rPr>
                <w:rFonts w:ascii="Times New Roman" w:hAnsi="Times New Roman" w:eastAsia="Times New Roman"/>
                <w:lang w:eastAsia="ru-RU"/>
              </w:rPr>
            </w:r>
            <w:r/>
          </w:p>
          <w:p>
            <w:pPr>
              <w:pStyle w:val="871"/>
              <w:ind w:left="0" w:firstLine="0"/>
              <w:jc w:val="both"/>
              <w:spacing w:after="0" w:line="240" w:lineRule="auto"/>
              <w:rPr>
                <w:rFonts w:ascii="Times New Roman" w:hAnsi="Times New Roman" w:eastAsia="Times New Roman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макетов информационно-справочных материалов, в том числе аудио-, видеороликов, телевизионных телепередач, фильмов, специальных репортажей, видеосюжетов (материалов)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 (ед.)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none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79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691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70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415"/>
        </w:trPr>
        <w:tc>
          <w:tcPr>
            <w:tcBorders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440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450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460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462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79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91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Borders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93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208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79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91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</w:tcBorders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white"/>
                <w:vertAlign w:val="superscript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материалов, направленных </w:t>
              <w:br w:type="textWrapping" w:clear="all"/>
              <w:t xml:space="preserve">на формирование этнокультурной компетентности граждан и пропаганду      ценностей добрососедства                                 и взаимоуважения, профилактику экстремизма (ед.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vertAlign w:val="superscript"/>
                <w:lang w:eastAsia="ru-RU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385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9.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vertAlign w:val="superscript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мигрантов, принявших участие в мероприятиях, направленных на их адаптацию и интеграцию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540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tcBorders>
              <w:top w:val="single" w:color="000000" w:sz="4" w:space="0"/>
            </w:tcBorders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285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Количество участников мероприятий, проводимых при участи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и российского казачества, направленных на сохранение               и развитие самобытной казачьей культуры и воспитание подрастающего поколения в духе патриотизма (чел.)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1 370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1 170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11.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Численность обучающихся и молодежи, вовле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ченных в мероприятия, направленные на профилактику терроризма (тыс. чел.)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6,2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6,5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6,8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7,1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7,4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highlight w:val="yellow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12.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>
              <w:rPr>
                <w:rFonts w:ascii="Times New Roman" w:hAnsi="Times New Roman" w:eastAsia="Times New Roman"/>
                <w:sz w:val="15"/>
                <w:szCs w:val="15"/>
                <w:vertAlign w:val="superscript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57,1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9,63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69,67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69,91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69,95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tcW w:w="63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67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1134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sz w:val="15"/>
                <w:szCs w:val="15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Параметры финансового обеспечения муниципальной программы 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Источники</w:t>
            </w:r>
            <w:r/>
          </w:p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финансирования</w:t>
            </w:r>
            <w:r/>
          </w:p>
        </w:tc>
        <w:tc>
          <w:tcPr>
            <w:gridSpan w:val="27"/>
            <w:tcMar>
              <w:top w:w="0" w:type="dxa"/>
              <w:bottom w:w="0" w:type="dxa"/>
            </w:tcMar>
            <w:tcW w:w="10916" w:type="dxa"/>
            <w:vAlign w:val="top"/>
            <w:textDirection w:val="lrTb"/>
            <w:noWrap w:val="false"/>
          </w:tcPr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Расходы по годам</w:t>
            </w:r>
            <w:r/>
          </w:p>
          <w:p>
            <w:pPr>
              <w:pStyle w:val="871"/>
              <w:ind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(тыс. рублей)</w:t>
            </w:r>
            <w:r/>
          </w:p>
        </w:tc>
      </w:tr>
      <w:tr>
        <w:trPr>
          <w:cantSplit/>
          <w:trHeight w:val="445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right="-113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всего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2019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2020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2021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2022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2023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 год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2024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2025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2026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2027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2028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2029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  <w:tc>
          <w:tcPr>
            <w:tcW w:w="902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2030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год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Всего</w:t>
            </w:r>
            <w:r/>
          </w:p>
        </w:tc>
        <w:tc>
          <w:tcPr>
            <w:tcMar>
              <w:top w:w="0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136 955,90</w:t>
            </w:r>
            <w:r/>
          </w:p>
        </w:tc>
        <w:tc>
          <w:tcPr>
            <w:gridSpan w:val="2"/>
            <w:tcW w:w="83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18 063,41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31 871,97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56 512,75</w:t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7 481,37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3 306,00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tcW w:w="90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Бюджет автономного округа</w:t>
            </w:r>
            <w:r/>
          </w:p>
        </w:tc>
        <w:tc>
          <w:tcPr>
            <w:tcMar>
              <w:top w:w="0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34 119,30</w:t>
            </w:r>
            <w:r/>
          </w:p>
        </w:tc>
        <w:tc>
          <w:tcPr>
            <w:gridSpan w:val="2"/>
            <w:tcW w:w="83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106,60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7 800,00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25 817,20</w:t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200,00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195,50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tcW w:w="90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Бюджет города</w:t>
            </w:r>
            <w:r/>
          </w:p>
        </w:tc>
        <w:tc>
          <w:tcPr>
            <w:tcMar>
              <w:top w:w="0" w:type="dxa"/>
              <w:bottom w:w="0" w:type="dxa"/>
            </w:tcMar>
            <w:tcW w:w="85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102 836,60</w:t>
            </w:r>
            <w:r/>
          </w:p>
        </w:tc>
        <w:tc>
          <w:tcPr>
            <w:gridSpan w:val="2"/>
            <w:tcW w:w="83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17 956,81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24 071,97</w:t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30 695,55</w:t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7 281,37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3 110,50</w:t>
            </w:r>
            <w:r/>
          </w:p>
        </w:tc>
        <w:tc>
          <w:tcPr>
            <w:gridSpan w:val="2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3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3"/>
            <w:tcMar>
              <w:top w:w="0" w:type="dxa"/>
              <w:bottom w:w="0" w:type="dxa"/>
            </w:tcMar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gridSpan w:val="2"/>
            <w:tcW w:w="833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>
              <w:rPr>
                <w:rFonts w:ascii="Times New Roman" w:hAnsi="Times New Roman"/>
                <w:sz w:val="15"/>
                <w:szCs w:val="15"/>
              </w:rPr>
            </w:r>
            <w:r/>
          </w:p>
        </w:tc>
        <w:tc>
          <w:tcPr>
            <w:tcW w:w="902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2 817,20</w:t>
            </w:r>
            <w:r/>
          </w:p>
        </w:tc>
      </w:tr>
      <w:tr>
        <w:trPr>
          <w:trHeight w:val="110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Параметры финансового обеспечения портфелей проектов (проектов) города, направленных в том числе         на реа</w:t>
            </w: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лизацию национальных, федеральных и региональных проектов Российской Федерации</w:t>
            </w:r>
            <w:r/>
          </w:p>
        </w:tc>
        <w:tc>
          <w:tcPr>
            <w:gridSpan w:val="29"/>
            <w:tcMar>
              <w:top w:w="0" w:type="dxa"/>
              <w:bottom w:w="0" w:type="dxa"/>
            </w:tcMar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Объем налоговых расходов города</w:t>
            </w:r>
            <w:r/>
          </w:p>
        </w:tc>
        <w:tc>
          <w:tcPr>
            <w:gridSpan w:val="29"/>
            <w:tcW w:w="12617" w:type="dxa"/>
            <w:vAlign w:val="top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eastAsia="Times New Roman"/>
                <w:sz w:val="15"/>
                <w:szCs w:val="15"/>
                <w:lang w:eastAsia="ru-RU"/>
              </w:rPr>
              <w:t xml:space="preserve">-</w:t>
            </w:r>
            <w:r/>
          </w:p>
        </w:tc>
      </w:tr>
    </w:tbl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</w:t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Рассчитывается исходя из отношения количества граждан, признавших, что за последние годы межнациональные отношения не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изменились или стали более терпимыми, к общему количеству опрошенных. Определяется по информации, представленной Департаментом общественных, внешних связей и молодежной политики Ханты-Мансийского автономного округа - Югры на основании результатов социолог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ического исследования "О состоянии межнациональных и межконфессиональных отношений в Ханты-Мансийском автономном округе - Югре".</w:t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vertAlign w:val="superscript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Определяется по фактическ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ому количеству участников мероприятий, направленных на этнокультурное раз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витие народов Российской Федерации, проживающих в городе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3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количеству участников мероприятий, направленных на укрепление общероссийского гражданского единства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количеств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у мероприятий (проектов, программ), в которых приняли участие некоммерческие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организации, по укреплению межнационального и межконфессионального согласия, поддержке и развитию языков и культуры народов Российской Федерации, прожи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вающих на территории муниципального образования, обеспечению социальной и культурной адаптации мигрантов и профилактике экстремизма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количеству участников мероприятий, направленных на поддержку русс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кого языка как государственного языка Российской Федерации и средства межнационального общения народов Российской Федерации, проживающих в муниципальном образовании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  <w:vertAlign w:val="superscript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количеству молодых людей в возрасте от 14 до 35 лет, принявш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их участие в мероприятиях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, обеспечению социальной и культурной адаптации мигрантов и профилактике экстремизма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 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Рассчитывается исходя из количества муниципальных служащих и работников муниципальных учреждений, обученных по вопросам укрепления межнационального и межконфессионально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профилактики экстремизма и терроризма, по состоянию на конец го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да (с нарастающим итогом) (до 31.12.2022).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 Рассчитывается исходя из количества муниципальных служащих и работников муниципальных учреждений, обученных по вопросам укрепления межнационального и межконфессионального согласия, поддержки и развития языков и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культуры народов Российской Федерации, проживающих на территории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муниципального образования, обеспечения социальной и культурной адаптации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игрантов, профилактики экстремизма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(с 01.01.2023).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auto"/>
          <w:sz w:val="24"/>
          <w:szCs w:val="24"/>
          <w:highlight w:val="white"/>
          <w:vertAlign w:val="superscript"/>
          <w:lang w:eastAsia="ru-RU"/>
        </w:rPr>
        <w:t xml:space="preserve">8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  <w:lang w:eastAsia="ru-RU"/>
        </w:rPr>
        <w:t xml:space="preserve">Определяется по количеству фактически размещенны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  <w:lang w:eastAsia="ru-RU"/>
        </w:rPr>
        <w:t xml:space="preserve">х в течение года в городских средствах массовой информации публикаций и 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  <w:lang w:eastAsia="ru-RU"/>
        </w:rPr>
        <w:t xml:space="preserve">разработанных макетов информационно-справочных материалов</w:t>
      </w:r>
      <w:r>
        <w:rPr>
          <w:rFonts w:ascii="Times New Roman" w:hAnsi="Times New Roman" w:eastAsia="Times New Roman"/>
          <w:color w:val="auto"/>
          <w:sz w:val="24"/>
          <w:szCs w:val="24"/>
          <w:highlight w:val="white"/>
          <w:lang w:eastAsia="ru-RU"/>
        </w:rPr>
        <w:t xml:space="preserve">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экстремизма и терроризма (до 31.12.2022).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Определяется по количеству фактически размещенных в городских средствах массовой информации публикаций и количеству фактически разработанных макетов информационно-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справочных материалов (в том числе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аудио-, видеороликов, телевизионных телепередач, фильмов, специальных репортажей, видеосюжетов (материалов)),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а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 (с 01.01.2023).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9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количеству мигрантов, принявших участие в мероприятиях, направленных на их адаптацию и интеграцию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10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количеству участников мероприятий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, проведенных при участии российского казачества, направленных на сохранение и развитие самобытной казачьей культуры и воспитание подрастающего поколения в духе патриотизма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(на конец отчетного года)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11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по фактическому количеству обучающихся и молодежи, в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овлеченных в мероприятия, проведенные в течение года, направленные на профилактику терроризма, по состоянию на конец года (с нарастающим итогом).</w:t>
      </w:r>
      <w:r>
        <w:rPr>
          <w:highlight w:val="white"/>
        </w:rPr>
      </w:r>
      <w:r/>
    </w:p>
    <w:p>
      <w:pPr>
        <w:pStyle w:val="87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highlight w:val="white"/>
          <w:vertAlign w:val="superscript"/>
          <w:lang w:eastAsia="ru-RU"/>
        </w:rPr>
        <w:t xml:space="preserve">12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Определяется как отношение фактически приобретенного оборудования к общему количеству обору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дования, к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оторое обеспечивает максимальную антитеррористическую защищенность объектов, находящихся в ведении муниципального образования.</w:t>
      </w:r>
      <w:r>
        <w:rPr>
          <w:highlight w:val="white"/>
        </w:rPr>
      </w:r>
      <w:r/>
    </w:p>
    <w:p>
      <w:pPr>
        <w:pStyle w:val="871"/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  <w:lang w:eastAsia="ru-RU"/>
        </w:rPr>
        <w:t xml:space="preserve">Таблица</w:t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Распределение финансовых ресурсов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tbl>
      <w:tblPr>
        <w:tblW w:w="1502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985"/>
        <w:gridCol w:w="1134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п/п</w:t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103" w:right="-105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Структурные элементы </w:t>
            </w:r>
            <w:r/>
          </w:p>
          <w:p>
            <w:pPr>
              <w:pStyle w:val="871"/>
              <w:ind w:left="-103" w:right="-105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(основ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ные мероприятия) </w:t>
            </w:r>
            <w:r/>
          </w:p>
          <w:p>
            <w:pPr>
              <w:pStyle w:val="871"/>
              <w:ind w:left="-103" w:right="-105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программы </w:t>
            </w:r>
            <w:r/>
          </w:p>
          <w:p>
            <w:pPr>
              <w:pStyle w:val="871"/>
              <w:ind w:left="-103" w:right="-105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(их связь </w:t>
            </w:r>
            <w:r/>
          </w:p>
          <w:p>
            <w:pPr>
              <w:pStyle w:val="871"/>
              <w:ind w:left="-103" w:right="-105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 целевыми показателями </w:t>
            </w:r>
            <w:r/>
          </w:p>
          <w:p>
            <w:pPr>
              <w:pStyle w:val="871"/>
              <w:ind w:left="-103" w:right="-105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программы)</w:t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10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Ответственный </w:t>
            </w:r>
            <w:r/>
          </w:p>
          <w:p>
            <w:pPr>
              <w:pStyle w:val="871"/>
              <w:ind w:left="-10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исполнитель/</w:t>
            </w:r>
            <w:r/>
          </w:p>
          <w:p>
            <w:pPr>
              <w:pStyle w:val="871"/>
              <w:ind w:left="-10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соисполнители </w:t>
            </w:r>
            <w:r/>
          </w:p>
          <w:p>
            <w:pPr>
              <w:pStyle w:val="871"/>
              <w:ind w:left="-10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</w:t>
            </w:r>
            <w:r/>
          </w:p>
          <w:p>
            <w:pPr>
              <w:pStyle w:val="871"/>
              <w:ind w:left="-10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программы</w:t>
            </w:r>
            <w:r/>
          </w:p>
        </w:tc>
        <w:tc>
          <w:tcPr>
            <w:shd w:val="clear" w:color="000000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100" w:right="-115" w:hanging="1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Источники </w:t>
            </w:r>
            <w:r/>
          </w:p>
          <w:p>
            <w:pPr>
              <w:pStyle w:val="871"/>
              <w:ind w:left="-100" w:right="-115" w:hanging="1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финансирования</w:t>
            </w:r>
            <w:r/>
          </w:p>
        </w:tc>
        <w:tc>
          <w:tcPr>
            <w:gridSpan w:val="13"/>
            <w:shd w:val="clear" w:color="000000" w:fill="ffffff"/>
            <w:tcW w:w="935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Финансовые затраты на реализацию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(тыс. рублей)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gridSpan w:val="12"/>
            <w:shd w:val="clear" w:color="000000" w:fill="ffffff"/>
            <w:tcW w:w="850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 том числе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2019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2020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2021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2022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2023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2024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2025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2026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2027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2028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2029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2030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год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4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5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6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7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8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11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12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13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14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15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16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17</w:t>
            </w:r>
            <w:r/>
          </w:p>
        </w:tc>
      </w:tr>
      <w:tr>
        <w:trPr>
          <w:trHeight w:val="20"/>
        </w:trPr>
        <w:tc>
          <w:tcPr>
            <w:gridSpan w:val="17"/>
            <w:shd w:val="clear" w:color="000000" w:fill="ffffff"/>
            <w:tcW w:w="150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Цель 1. Укрепление единства, гражданского самосознания и духовной общности,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сохранени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е и развитие этнокультурного многообразия народов Российской Федерации, проживающих на территории города Нижневартовска</w:t>
            </w:r>
            <w:r/>
          </w:p>
        </w:tc>
      </w:tr>
      <w:tr>
        <w:trPr>
          <w:trHeight w:val="20"/>
        </w:trPr>
        <w:tc>
          <w:tcPr>
            <w:gridSpan w:val="17"/>
            <w:shd w:val="clear" w:color="000000" w:fill="ffffff"/>
            <w:tcW w:w="150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1. Укрепление межнационального и межконфессионального согласия, сохранение этнокультурного многообразия и языков народов Российс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кой Федерации, проживающих в городе Нижневартовске,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укрепление их духовной общности и создание условий для обеспечения прав народов Российской Федерации в социально-культурной сфере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1.1.</w:t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к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ультурно-просветительской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работы среди населения города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формированию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общероссийской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гражданской идентичности,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воспитанию культуры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изучению истории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традиций народов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их опыта солидарности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укрепл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ении государства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защиты общего Отечества"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1-4, 6, 8, 10, 12)</w:t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и молодежной политики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образован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ия;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автономное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"Молодежный центр";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культуры;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физической культуры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спорта;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казенное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материально-технического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обеспечения деятельности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органов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Нижневартовска";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муниципальной собственности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земельных ресурсов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46 932,77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1 920,00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9 592,00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26 118,89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1 611,88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980,00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автономного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округа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32 769,50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7 800,00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24 969,50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14 163,27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1 920,00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1 792,00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1 149,39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1 611,88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980,00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950,00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1.2.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"Содействие поддержке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русского языка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как государственного языка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Ро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ссийской Федерации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его популяризации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как средства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 также обеспечение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оптимальных условий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для сохранения и развития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языков народов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проживающих в городе"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1-3, 5, 6)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образования;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культуры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1 300,00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1.3.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"Реализация комплексной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информационной кампании,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направленной на укрепление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общегражданской идентичности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межнационального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(межэтнического),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межконфессионального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межкультурного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взаимоде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йствия"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1, 8)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молодежной политики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казенное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материал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ьно-технического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обеспечения деятельности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органов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Нижневартовска"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5 694,70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610,00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595,70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407,70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747,20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258,20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258,20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258,20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511,90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511,90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511,90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511,90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511,90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1.4.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"Методическое обесп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ечение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подготовка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муниципальных служащих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работников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муниципальных учреждений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укрепления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межнационального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межконфессионального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согласия, поддержки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развития языков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культуры народов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проживающих на террито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муниципального образования,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обеспечения социальной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культурной адаптации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мигрантов,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 также этнокультурной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компетентности специалистов"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(показатель 7)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задаче 1</w:t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54 027,47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2 780,00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10 337,70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26 626,59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2 459,08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1 338,20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1 338,20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1 338,20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автономного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32 769,50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7 800,00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24 969,50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21 257,97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2 780,00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2 537,70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1 657,09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2 459,08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1 338,20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1 338,20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1 338,20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1 561,90</w:t>
            </w:r>
            <w:r/>
          </w:p>
        </w:tc>
      </w:tr>
      <w:tr>
        <w:trPr>
          <w:trHeight w:val="20"/>
        </w:trPr>
        <w:tc>
          <w:tcPr>
            <w:gridSpan w:val="17"/>
            <w:shd w:val="clear" w:color="000000" w:fill="ffffff"/>
            <w:tcW w:w="150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2. Развитие духовно-нравственны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х основ и самобытной культуры российского казачества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 повышение его роли в воспитании подрастающего поколения в духе патриотизма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2.1.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"Сохранение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популяризация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самобытной казачьей культуры"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2, 4, 6, 10)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культуры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1 030,00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650,00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2.2.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воспитательной работы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 подрастающим поколением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духе патриотизма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 участием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российского казачества"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2, 4, 6, 10)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образования;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культуры;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физической культуры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спорта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1 465,00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935,00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390,00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140,00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задаче 2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2 495,00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315,00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1 040,00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140,00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trHeight w:val="20"/>
        </w:trPr>
        <w:tc>
          <w:tcPr>
            <w:gridSpan w:val="17"/>
            <w:shd w:val="clear" w:color="000000" w:fill="ffffff"/>
            <w:tcW w:w="150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highlight w:val="white"/>
                <w:lang w:eastAsia="ru-RU"/>
              </w:rPr>
              <w:t xml:space="preserve">Цель 2. Совершенствование мер,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highlight w:val="white"/>
                <w:lang w:eastAsia="ru-RU"/>
              </w:rPr>
              <w:t xml:space="preserve">направленных на гармонизацию межнациональных отношений, профилактику экстремизма 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gridSpan w:val="17"/>
            <w:shd w:val="clear" w:color="000000" w:fill="ffffff"/>
            <w:tcW w:w="150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highlight w:val="white"/>
                <w:lang w:eastAsia="ru-RU"/>
              </w:rPr>
              <w:t xml:space="preserve">Задача 3. Содействие социокультурной интеграции и адаптации мигрантов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.1.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Основное мероприятие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"Проведение мероприятий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по социокультурной интеграции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и адаптации мигрантов"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(показатели 1-4, 6,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8,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9)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по социальной политике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муниципальные учреждения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в сфере культуры;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департамент образова</w:t>
            </w: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ния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муниципальные организации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в сфере образования;</w:t>
            </w:r>
            <w:r>
              <w:rPr>
                <w:highlight w:val="white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и молодежной политики</w:t>
            </w:r>
            <w:r>
              <w:rPr>
                <w:highlight w:val="white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управление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по вопросам законности,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правопорядка и безопасности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администрации города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бюджет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highlight w:val="white"/>
                <w:lang w:eastAsia="ru-RU"/>
              </w:rPr>
              <w:t xml:space="preserve">города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3 600,00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640,00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340,00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640,00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220,00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3.2.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"Совершенствование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системы мер,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обеспечивающих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уважительное отношение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мигрантов к культуре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традициям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принимающего сообщества"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1-3, 9)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департамент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по социальной политике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муниципальные учреждения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в сфере культуры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3.3.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"Привлечение средств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массовой информации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 формированию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положительного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образа мигранта,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популяризации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легального труда мигрантов"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1, 8)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молодежной политики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1 126,30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93,30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задаче 3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5 146,30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830,00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463,30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763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343,30</w:t>
            </w:r>
            <w:r/>
          </w:p>
        </w:tc>
      </w:tr>
      <w:tr>
        <w:trPr>
          <w:trHeight w:val="20"/>
        </w:trPr>
        <w:tc>
          <w:tcPr>
            <w:gridSpan w:val="17"/>
            <w:shd w:val="clear" w:color="000000" w:fill="ffffff"/>
            <w:tcW w:w="1502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4. Развитие системы мер профилактики и предупреждения межэтнических, межконфессиональных конфликтов,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сведение к минимуму условий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для проявлений экстремизма на территории города Нижневартовска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4.1.</w:t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просветительской работы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среди населения города,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направленной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на профилактику экстремизма"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1-4, 6)</w:t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и молодежной политики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управле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ние </w:t>
            </w:r>
            <w:r>
              <w:rPr>
                <w:highlight w:val="white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автономное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"Молодежный центр";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ент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культуры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4 666,60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476,60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390,00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410,00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350,00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автономного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округа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106,60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106,60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4 560,00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370,00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390,00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410,00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350,00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4.2.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"Проведение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информационных кампаний,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направленных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на просвещение населения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муниципального образования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профилактики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экстремизма"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1, 8)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и молодежной политики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казенное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материально-технического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обеспечен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ия деятельности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органов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Нижневартовска";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 сфере образования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3 038,96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166,60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144,24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160,20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347,82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386,70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386,70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386,70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212,00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212,00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4.3.</w:t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"Методическое обеспечение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подготовка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муниципальных служащих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работников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муниципальных учреждений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профилактики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экстремизма"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1, 7)</w:t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и молодежной политики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автономное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орода Нижневартовска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"Молодежный центр"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3 616,80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110,00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290,00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170,00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88,00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778,80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290,00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290,00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4"/>
                <w:szCs w:val="14"/>
                <w:lang w:eastAsia="ru-RU"/>
              </w:rPr>
              <w:t xml:space="preserve">автономного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4"/>
                <w:szCs w:val="14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195,50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right="-106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195,50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yellow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3 421,30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110,00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290,00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170,00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88,00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583,30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290,00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290,00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320,00</w:t>
            </w:r>
            <w:r/>
          </w:p>
        </w:tc>
      </w:tr>
      <w:tr>
        <w:trPr>
          <w:trHeight w:val="20"/>
        </w:trPr>
        <w:tc>
          <w:tcPr>
            <w:shd w:val="clear" w:color="000000" w:fill="ffffff"/>
            <w:tcW w:w="4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4.4.</w:t>
            </w:r>
            <w:r/>
          </w:p>
        </w:tc>
        <w:tc>
          <w:tcPr>
            <w:shd w:val="clear" w:color="000000" w:fill="ffffff"/>
            <w:tcW w:w="2126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"Обеспечение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эффективного мониторинга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состояния межнациональных,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межконфессиональных 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отношений,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раннего предупреждения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конфлик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тных ситуаций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выявления фактов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распространения идеологии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экстремизма"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(показатели 6, 8)</w:t>
            </w:r>
            <w:r/>
          </w:p>
        </w:tc>
        <w:tc>
          <w:tcPr>
            <w:shd w:val="clear" w:color="000000" w:fill="ffffff"/>
            <w:tcW w:w="1985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по вопросам законности,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муниципальное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казенное учреждение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"Управление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материально-технического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обеспечения деятельности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органов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Нижневартовска";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и молодежной политики </w:t>
            </w:r>
            <w:r/>
          </w:p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</w:t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города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729,00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255,00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79,00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79,00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79,00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79,00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79,00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79,00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shd w:val="clear" w:color="000000" w:fill="ffffff"/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Итого по задаче 4</w:t>
            </w:r>
            <w:r/>
          </w:p>
        </w:tc>
        <w:tc>
          <w:tcPr>
            <w:shd w:val="clear" w:color="000000" w:fill="ffffff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12 051,36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1 008,20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903,24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819,20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864,82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1 624,50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1 135,70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1 135,70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автономного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округа</w:t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302,10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106,60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195,50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1134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850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11 749,26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901,60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903,24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819,20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864,82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1 429,00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1 135,70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1 135,70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9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  <w:tc>
          <w:tcPr>
            <w:shd w:val="clear" w:color="000000" w:fill="ffffff"/>
            <w:tcW w:w="708" w:type="dxa"/>
            <w:vAlign w:val="top"/>
            <w:textDirection w:val="lrTb"/>
            <w:noWrap w:val="false"/>
          </w:tcPr>
          <w:p>
            <w:pPr>
              <w:pStyle w:val="871"/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912,00</w:t>
            </w:r>
            <w:r/>
          </w:p>
        </w:tc>
      </w:tr>
      <w:tr>
        <w:trPr>
          <w:trHeight w:val="225"/>
        </w:trPr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Цель 3. Создание условий для комплексной антитеррористической безопасности в городе Нижневартовске</w:t>
            </w:r>
            <w:r/>
          </w:p>
        </w:tc>
      </w:tr>
      <w:tr>
        <w:trPr>
          <w:trHeight w:val="225"/>
        </w:trPr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Задача 5. Совершенствование мер, направленных на профи</w:t>
            </w: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  <w:r/>
          </w:p>
        </w:tc>
      </w:tr>
      <w:tr>
        <w:trPr>
          <w:trHeight w:val="21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5.1.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Основное мероприятие "Организация и проведение воспитательной и просветительской раб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оты среди детей и молодежи, направленной на профилактику терроризма" 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(показатели 3, 6, 11)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департамент образования администрации города; муниципальные организации в сфере образования; департамент общественных коммуникаций и молодежной политики администрац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ии города; муниципальное автономное учреждение города Нижневартовска "Молодежный центр"; департамент по социальной политике администрации города; муниципальные учреждения в сфере культуры; муниципальные учреждения в сфере физической культуры и спорта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бюдже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т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1 180,00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330,00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250,00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300,00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300,00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trHeight w:val="16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5.2.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Основное мероприятие "Информирование населения муниципального образования в сфере профилактики терроризма" (показатель 8)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департамент общественных коммуникаций и молодежной политики админи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страции города;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Нижневартовска"; управление по вопросам законности, правопорядка и безопасности администрации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бюдж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ет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3 159,66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796,50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657,76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852,60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852,80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trHeight w:val="13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5.3.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Основное мероприятие "Методическое обеспечение и подготовка муниципальных служащих и работников муниципальных учреждений по вопросам профилактики терроризма" (показатели 7, 8)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управление 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по вопросам законности, правопорядка и безопасности администрации города; 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департамент общественных коммуникаций и молодежной политики администрации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бюджет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1 014,75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300,00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300,00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214,75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Итого по задаче 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бюджет горо</w:t>
            </w: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5 354,41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hanging="8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1 426,50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1 207,76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1 367,35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hanging="4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1 352,80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trHeight w:val="225"/>
        </w:trPr>
        <w:tc>
          <w:tcPr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6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Задача 6. 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</w:t>
            </w: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пального образования</w:t>
            </w:r>
            <w:r/>
          </w:p>
        </w:tc>
      </w:tr>
      <w:tr>
        <w:trPr>
          <w:cantSplit/>
          <w:trHeight w:val="339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6.1.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Основное мероприятие "Повышение уровня антитеррористической защищенности муниципальных объектов" (показатель 12)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департамент по социальной политике администрации города; муниципальные учреждения в сфере культуры; муниципальные уч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реждения в сфере физической культуры и спорта;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Нижневартовска"; департамент жилищно-коммунального хозяйства администрации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 города; муниципальное бюджетное учреждение "Управление по дорожному хозяйству и благоустройству города Нижневартовска"; департамент образования администрации города; муниципальные организации в сфере образования;  департамент муниципальной собственности</w:t>
              <w:br w:type="textWrapping" w:clear="all"/>
              <w:t xml:space="preserve">и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 земельных ресурсов администрации города; муниципальное казенное учреждение 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Управление капитального строительства города Нижневартовска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57 881,36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97" w:hanging="230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10 703,71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54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17 919,97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4" w:hanging="114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27 216,31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hanging="59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2 041,37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бюджет автономного округа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1 047,70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847,70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бюджет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56 833,66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10 703,71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17 919,97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26 368,61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84" w:hanging="143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1 841,37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Итого по задаче 6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57 881,36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10 703,71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17 919,97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27 216,31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84" w:hanging="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2 041,37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бюджет автономного округа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1 047,70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847,70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бюджет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56 833,66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10 703,71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17 919,97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26 368,61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84" w:hanging="14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1 841,37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-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Всего по муниципальной программе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ind w:right="-136" w:hanging="12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136 955,90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18 063,41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31 871,97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56 512,75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84" w:hanging="14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7 481,37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94" w:hanging="14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3 306,00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92" w:hanging="12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1" w:hanging="11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hanging="2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128" w:hanging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бюджет автономного округа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34 119,30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106,60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7 800,00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25 817,20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84" w:hanging="14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200,00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195,50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0,00</w:t>
            </w:r>
            <w:r/>
          </w:p>
        </w:tc>
      </w:tr>
      <w:tr>
        <w:trPr>
          <w:cantSplit/>
          <w:trHeight w:val="22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бюджет города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1"/>
              <w:ind w:right="-136" w:hanging="12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102 836,60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06" w:hanging="10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17 956,81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0" w:hanging="10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24 071,97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255" w:hanging="25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30 695,55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left="-148" w:right="-244" w:hanging="14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7 281,37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88" w:hanging="14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3 110,50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92" w:hanging="12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ind w:right="-111" w:hanging="117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114" w:hanging="9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</w:t>
            </w: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1"/>
              <w:ind w:right="-128" w:hanging="11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14"/>
                <w:lang w:eastAsia="ru-RU"/>
              </w:rPr>
              <w:t xml:space="preserve">2 817,20</w:t>
            </w:r>
            <w:r/>
          </w:p>
        </w:tc>
      </w:tr>
    </w:tbl>
    <w:p>
      <w:pPr>
        <w:pStyle w:val="8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71"/>
        <w:jc w:val="both"/>
        <w:spacing w:after="0" w:line="240" w:lineRule="auto"/>
        <w:rPr>
          <w:rFonts w:eastAsia="Times New Roman"/>
          <w:sz w:val="2"/>
          <w:szCs w:val="2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Примечание: средства бюджета автономного округа поступают в рамках государственной 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sz w:val="24"/>
          <w:szCs w:val="24"/>
          <w:lang w:eastAsia="ru-RU"/>
        </w:rPr>
        <w:instrText xml:space="preserve"> HYPERLINK "https://login.consultant.ru/link/?req=doc&amp;base=RLAW926&amp;n=238526&amp;dst=102845&amp;field=134&amp;date=29.09.2021" </w:instrTex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Ханты-Мансийского ав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тономного округа - Югры "Реализация государственной национальной политики и профилактика экстремизма".</w:t>
      </w:r>
      <w:r>
        <w:rPr>
          <w:rFonts w:eastAsia="Times New Roman"/>
          <w:sz w:val="2"/>
          <w:szCs w:val="2"/>
          <w:lang w:eastAsia="ru-RU"/>
        </w:rPr>
      </w:r>
      <w:r/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71"/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1"/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1"/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1"/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1"/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1"/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1"/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1"/>
        <w:ind w:left="5749" w:hanging="216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7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1"/>
        <w:ind w:left="720" w:hanging="360"/>
      </w:pPr>
      <w:rPr>
        <w:rFonts w:eastAsia="Calibri"/>
        <w:color w:val="000000"/>
        <w:sz w:val="24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3439" w:hanging="117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1"/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71"/>
        <w:ind w:left="12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71"/>
        <w:ind w:left="16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71"/>
        <w:ind w:left="16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71"/>
        <w:ind w:left="198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1"/>
        <w:ind w:left="234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1"/>
        <w:ind w:left="23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1"/>
        <w:ind w:left="2700" w:hanging="216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pStyle w:val="871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1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1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1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1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1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1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1"/>
        <w:ind w:left="78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1"/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71"/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71"/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71"/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71"/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1"/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1"/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1"/>
        <w:ind w:left="7832" w:hanging="2160"/>
      </w:pPr>
      <w:rPr>
        <w:color w:val="00000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249" w:hanging="54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829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71"/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1"/>
        <w:ind w:left="1069" w:hanging="360"/>
      </w:pPr>
      <w:rPr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72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1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1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1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1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1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1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1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1"/>
        <w:ind w:left="252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114" w:hanging="405"/>
      </w:pPr>
    </w:lvl>
    <w:lvl w:ilvl="1">
      <w:start w:val="1"/>
      <w:numFmt w:val="decimal"/>
      <w:isLgl w:val="false"/>
      <w:suff w:val="tab"/>
      <w:lvlText w:val="%1.%2"/>
      <w:lvlJc w:val="left"/>
      <w:pPr>
        <w:pStyle w:val="871"/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71"/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71"/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71"/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71"/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71"/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71"/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71"/>
        <w:ind w:left="2869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27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71"/>
        <w:ind w:left="127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1"/>
        <w:ind w:left="163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1"/>
        <w:ind w:left="163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1"/>
        <w:ind w:left="199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1"/>
        <w:ind w:left="19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1"/>
        <w:ind w:left="1995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1"/>
        <w:ind w:left="235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1"/>
        <w:ind w:left="2355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1"/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1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color w:val="00000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4"/>
  </w:num>
  <w:num w:numId="9">
    <w:abstractNumId w:val="12"/>
  </w:num>
  <w:num w:numId="10">
    <w:abstractNumId w:val="15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6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72">
    <w:name w:val="Основной шрифт абзаца"/>
    <w:next w:val="872"/>
    <w:link w:val="871"/>
    <w:uiPriority w:val="1"/>
    <w:unhideWhenUsed/>
  </w:style>
  <w:style w:type="table" w:styleId="873">
    <w:name w:val="Обычная таблица"/>
    <w:next w:val="873"/>
    <w:link w:val="871"/>
    <w:uiPriority w:val="99"/>
    <w:semiHidden/>
    <w:unhideWhenUsed/>
    <w:tblPr/>
  </w:style>
  <w:style w:type="numbering" w:styleId="874">
    <w:name w:val="Нет списка"/>
    <w:next w:val="874"/>
    <w:link w:val="871"/>
    <w:uiPriority w:val="99"/>
    <w:semiHidden/>
    <w:unhideWhenUsed/>
  </w:style>
  <w:style w:type="paragraph" w:styleId="875">
    <w:name w:val="Текст выноски"/>
    <w:basedOn w:val="871"/>
    <w:next w:val="875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>
    <w:name w:val="Текст выноски Знак"/>
    <w:next w:val="876"/>
    <w:link w:val="87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77">
    <w:name w:val="ConsPlusTitle"/>
    <w:next w:val="877"/>
    <w:link w:val="871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styleId="878">
    <w:name w:val="Верхний колонтитул"/>
    <w:basedOn w:val="871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>
    <w:name w:val="Верхний колонтитул Знак"/>
    <w:next w:val="879"/>
    <w:link w:val="878"/>
    <w:uiPriority w:val="99"/>
    <w:rPr>
      <w:sz w:val="22"/>
      <w:szCs w:val="22"/>
      <w:lang w:eastAsia="en-US"/>
    </w:rPr>
  </w:style>
  <w:style w:type="paragraph" w:styleId="880">
    <w:name w:val="Нижний колонтитул"/>
    <w:basedOn w:val="871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next w:val="881"/>
    <w:link w:val="880"/>
    <w:uiPriority w:val="99"/>
    <w:rPr>
      <w:sz w:val="22"/>
      <w:szCs w:val="22"/>
      <w:lang w:eastAsia="en-US"/>
    </w:rPr>
  </w:style>
  <w:style w:type="table" w:styleId="882">
    <w:name w:val="Сетка таблицы"/>
    <w:basedOn w:val="873"/>
    <w:next w:val="882"/>
    <w:link w:val="871"/>
    <w:uiPriority w:val="39"/>
    <w:tblPr/>
  </w:style>
  <w:style w:type="paragraph" w:styleId="883">
    <w:name w:val="Стандартный HTML"/>
    <w:basedOn w:val="871"/>
    <w:next w:val="883"/>
    <w:link w:val="884"/>
    <w:uiPriority w:val="99"/>
    <w:unhideWhenUsed/>
    <w:rPr>
      <w:rFonts w:ascii="Courier New" w:hAnsi="Courier New" w:cs="Courier New"/>
      <w:sz w:val="20"/>
      <w:szCs w:val="20"/>
    </w:rPr>
  </w:style>
  <w:style w:type="character" w:styleId="884">
    <w:name w:val="Стандартный HTML Знак"/>
    <w:next w:val="884"/>
    <w:link w:val="883"/>
    <w:uiPriority w:val="99"/>
    <w:rPr>
      <w:rFonts w:ascii="Courier New" w:hAnsi="Courier New" w:cs="Courier New"/>
      <w:lang w:eastAsia="en-US"/>
    </w:rPr>
  </w:style>
  <w:style w:type="numbering" w:styleId="885">
    <w:name w:val="Нет списка1"/>
    <w:next w:val="874"/>
    <w:link w:val="871"/>
    <w:uiPriority w:val="99"/>
    <w:semiHidden/>
    <w:unhideWhenUsed/>
  </w:style>
  <w:style w:type="paragraph" w:styleId="886">
    <w:name w:val="ConsPlusNormal"/>
    <w:next w:val="886"/>
    <w:link w:val="991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numbering" w:styleId="887">
    <w:name w:val="Нет списка11"/>
    <w:next w:val="874"/>
    <w:link w:val="871"/>
    <w:uiPriority w:val="99"/>
    <w:semiHidden/>
    <w:unhideWhenUsed/>
  </w:style>
  <w:style w:type="paragraph" w:styleId="888">
    <w:name w:val="Без интервала"/>
    <w:next w:val="888"/>
    <w:link w:val="871"/>
    <w:uiPriority w:val="1"/>
    <w:qFormat/>
    <w:rPr>
      <w:sz w:val="22"/>
      <w:szCs w:val="22"/>
      <w:lang w:val="ru-RU" w:eastAsia="en-US" w:bidi="ar-SA"/>
    </w:rPr>
  </w:style>
  <w:style w:type="paragraph" w:styleId="889">
    <w:name w:val="ConsPlusNonformat"/>
    <w:next w:val="889"/>
    <w:link w:val="871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90">
    <w:name w:val="Гиперссылка"/>
    <w:next w:val="890"/>
    <w:link w:val="871"/>
    <w:uiPriority w:val="99"/>
    <w:semiHidden/>
    <w:unhideWhenUsed/>
    <w:rPr>
      <w:color w:val="0000ff"/>
      <w:u w:val="single"/>
    </w:rPr>
  </w:style>
  <w:style w:type="paragraph" w:styleId="891">
    <w:name w:val="Текст концевой сноски"/>
    <w:basedOn w:val="871"/>
    <w:next w:val="891"/>
    <w:link w:val="89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2">
    <w:name w:val="Текст концевой сноски Знак"/>
    <w:next w:val="892"/>
    <w:link w:val="891"/>
    <w:uiPriority w:val="99"/>
    <w:semiHidden/>
    <w:rPr>
      <w:lang w:eastAsia="en-US"/>
    </w:rPr>
  </w:style>
  <w:style w:type="paragraph" w:styleId="893">
    <w:name w:val="Текст сноски"/>
    <w:basedOn w:val="871"/>
    <w:next w:val="893"/>
    <w:link w:val="894"/>
    <w:uiPriority w:val="99"/>
    <w:unhideWhenUsed/>
    <w:pPr>
      <w:spacing w:after="0" w:line="240" w:lineRule="auto"/>
    </w:pPr>
    <w:rPr>
      <w:sz w:val="20"/>
      <w:szCs w:val="20"/>
    </w:rPr>
  </w:style>
  <w:style w:type="character" w:styleId="894">
    <w:name w:val="Текст сноски Знак"/>
    <w:next w:val="894"/>
    <w:link w:val="893"/>
    <w:uiPriority w:val="99"/>
    <w:rPr>
      <w:lang w:eastAsia="en-US"/>
    </w:rPr>
  </w:style>
  <w:style w:type="character" w:styleId="895">
    <w:name w:val="Знак сноски"/>
    <w:next w:val="895"/>
    <w:link w:val="871"/>
    <w:uiPriority w:val="99"/>
    <w:semiHidden/>
    <w:unhideWhenUsed/>
    <w:rPr>
      <w:vertAlign w:val="superscript"/>
    </w:rPr>
  </w:style>
  <w:style w:type="table" w:styleId="896">
    <w:name w:val="Сетка таблицы1"/>
    <w:basedOn w:val="873"/>
    <w:next w:val="882"/>
    <w:link w:val="871"/>
    <w:uiPriority w:val="59"/>
    <w:tblPr/>
  </w:style>
  <w:style w:type="character" w:styleId="897">
    <w:name w:val="Знак концевой сноски"/>
    <w:next w:val="897"/>
    <w:link w:val="871"/>
    <w:uiPriority w:val="99"/>
    <w:semiHidden/>
    <w:unhideWhenUsed/>
    <w:rPr>
      <w:vertAlign w:val="superscript"/>
    </w:rPr>
  </w:style>
  <w:style w:type="paragraph" w:styleId="898">
    <w:name w:val="formattext"/>
    <w:basedOn w:val="871"/>
    <w:next w:val="898"/>
    <w:link w:val="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99">
    <w:name w:val="Знак примечания"/>
    <w:next w:val="899"/>
    <w:link w:val="871"/>
    <w:uiPriority w:val="99"/>
    <w:semiHidden/>
    <w:unhideWhenUsed/>
    <w:rPr>
      <w:sz w:val="16"/>
      <w:szCs w:val="16"/>
    </w:rPr>
  </w:style>
  <w:style w:type="paragraph" w:styleId="900">
    <w:name w:val="Текст примечания"/>
    <w:basedOn w:val="871"/>
    <w:next w:val="900"/>
    <w:link w:val="901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01">
    <w:name w:val="Текст примечания Знак"/>
    <w:next w:val="901"/>
    <w:link w:val="900"/>
    <w:uiPriority w:val="99"/>
    <w:semiHidden/>
    <w:rPr>
      <w:rFonts w:ascii="Times New Roman" w:hAnsi="Times New Roman" w:eastAsia="Times New Roman"/>
    </w:rPr>
  </w:style>
  <w:style w:type="paragraph" w:styleId="902">
    <w:name w:val="Тема примечания"/>
    <w:basedOn w:val="900"/>
    <w:next w:val="900"/>
    <w:link w:val="903"/>
    <w:uiPriority w:val="99"/>
    <w:semiHidden/>
    <w:unhideWhenUsed/>
    <w:rPr>
      <w:b/>
      <w:bCs/>
    </w:rPr>
  </w:style>
  <w:style w:type="character" w:styleId="903">
    <w:name w:val="Тема примечания Знак"/>
    <w:next w:val="903"/>
    <w:link w:val="902"/>
    <w:uiPriority w:val="99"/>
    <w:semiHidden/>
    <w:rPr>
      <w:rFonts w:ascii="Times New Roman" w:hAnsi="Times New Roman" w:eastAsia="Times New Roman"/>
      <w:b/>
      <w:bCs/>
    </w:rPr>
  </w:style>
  <w:style w:type="character" w:styleId="904">
    <w:name w:val="hl"/>
    <w:next w:val="904"/>
    <w:link w:val="871"/>
  </w:style>
  <w:style w:type="character" w:styleId="905">
    <w:name w:val="nobr"/>
    <w:next w:val="905"/>
    <w:link w:val="871"/>
  </w:style>
  <w:style w:type="paragraph" w:styleId="906">
    <w:name w:val="Абзац списка"/>
    <w:basedOn w:val="871"/>
    <w:next w:val="906"/>
    <w:link w:val="871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numbering" w:styleId="907">
    <w:name w:val="Нет списка2"/>
    <w:next w:val="874"/>
    <w:link w:val="871"/>
    <w:uiPriority w:val="99"/>
    <w:semiHidden/>
    <w:unhideWhenUsed/>
  </w:style>
  <w:style w:type="table" w:styleId="908">
    <w:name w:val="Сетка таблицы2"/>
    <w:basedOn w:val="873"/>
    <w:next w:val="882"/>
    <w:link w:val="871"/>
    <w:uiPriority w:val="39"/>
    <w:tblPr/>
  </w:style>
  <w:style w:type="character" w:styleId="909">
    <w:name w:val="Просмотренная гиперссылка"/>
    <w:next w:val="909"/>
    <w:link w:val="871"/>
    <w:uiPriority w:val="99"/>
    <w:semiHidden/>
    <w:unhideWhenUsed/>
    <w:rPr>
      <w:color w:val="954f72"/>
      <w:u w:val="single"/>
    </w:rPr>
  </w:style>
  <w:style w:type="paragraph" w:styleId="910">
    <w:name w:val="msonormal"/>
    <w:basedOn w:val="871"/>
    <w:next w:val="910"/>
    <w:link w:val="87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1">
    <w:name w:val="font5"/>
    <w:basedOn w:val="871"/>
    <w:next w:val="911"/>
    <w:link w:val="87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2">
    <w:name w:val="font6"/>
    <w:basedOn w:val="871"/>
    <w:next w:val="912"/>
    <w:link w:val="87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3">
    <w:name w:val="font7"/>
    <w:basedOn w:val="871"/>
    <w:next w:val="913"/>
    <w:link w:val="871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14">
    <w:name w:val="font8"/>
    <w:basedOn w:val="871"/>
    <w:next w:val="914"/>
    <w:link w:val="871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915">
    <w:name w:val="xl63"/>
    <w:basedOn w:val="871"/>
    <w:next w:val="915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6">
    <w:name w:val="xl64"/>
    <w:basedOn w:val="871"/>
    <w:next w:val="916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7">
    <w:name w:val="xl65"/>
    <w:basedOn w:val="871"/>
    <w:next w:val="917"/>
    <w:link w:val="871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>
    <w:name w:val="xl66"/>
    <w:basedOn w:val="871"/>
    <w:next w:val="918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9">
    <w:name w:val="xl67"/>
    <w:basedOn w:val="871"/>
    <w:next w:val="919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0">
    <w:name w:val="xl68"/>
    <w:basedOn w:val="871"/>
    <w:next w:val="920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21">
    <w:name w:val="xl69"/>
    <w:basedOn w:val="871"/>
    <w:next w:val="921"/>
    <w:link w:val="871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>
    <w:name w:val="xl70"/>
    <w:basedOn w:val="871"/>
    <w:next w:val="922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3">
    <w:name w:val="xl71"/>
    <w:basedOn w:val="871"/>
    <w:next w:val="923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24">
    <w:name w:val="xl72"/>
    <w:basedOn w:val="871"/>
    <w:next w:val="924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5">
    <w:name w:val="xl73"/>
    <w:basedOn w:val="871"/>
    <w:next w:val="925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6">
    <w:name w:val="xl74"/>
    <w:basedOn w:val="871"/>
    <w:next w:val="926"/>
    <w:link w:val="871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7">
    <w:name w:val="xl75"/>
    <w:basedOn w:val="871"/>
    <w:next w:val="927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8">
    <w:name w:val="xl76"/>
    <w:basedOn w:val="871"/>
    <w:next w:val="928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9">
    <w:name w:val="xl77"/>
    <w:basedOn w:val="871"/>
    <w:next w:val="929"/>
    <w:link w:val="871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0">
    <w:name w:val="xl78"/>
    <w:basedOn w:val="871"/>
    <w:next w:val="930"/>
    <w:link w:val="871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1">
    <w:name w:val="xl79"/>
    <w:basedOn w:val="871"/>
    <w:next w:val="931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2">
    <w:name w:val="xl80"/>
    <w:basedOn w:val="871"/>
    <w:next w:val="932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3">
    <w:name w:val="xl81"/>
    <w:basedOn w:val="871"/>
    <w:next w:val="933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4">
    <w:name w:val="xl82"/>
    <w:basedOn w:val="871"/>
    <w:next w:val="934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5">
    <w:name w:val="xl83"/>
    <w:basedOn w:val="871"/>
    <w:next w:val="935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36">
    <w:name w:val="xl84"/>
    <w:basedOn w:val="871"/>
    <w:next w:val="936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7">
    <w:name w:val="xl85"/>
    <w:basedOn w:val="871"/>
    <w:next w:val="937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8">
    <w:name w:val="xl86"/>
    <w:basedOn w:val="871"/>
    <w:next w:val="938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9">
    <w:name w:val="xl87"/>
    <w:basedOn w:val="871"/>
    <w:next w:val="939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0">
    <w:name w:val="xl88"/>
    <w:basedOn w:val="871"/>
    <w:next w:val="940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41">
    <w:name w:val="xl89"/>
    <w:basedOn w:val="871"/>
    <w:next w:val="941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2">
    <w:name w:val="xl90"/>
    <w:basedOn w:val="871"/>
    <w:next w:val="942"/>
    <w:link w:val="871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43">
    <w:name w:val="xl91"/>
    <w:basedOn w:val="871"/>
    <w:next w:val="943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44">
    <w:name w:val="xl92"/>
    <w:basedOn w:val="871"/>
    <w:next w:val="944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45">
    <w:name w:val="xl93"/>
    <w:basedOn w:val="871"/>
    <w:next w:val="945"/>
    <w:link w:val="87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46">
    <w:name w:val="xl94"/>
    <w:basedOn w:val="871"/>
    <w:next w:val="946"/>
    <w:link w:val="871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7">
    <w:name w:val="xl95"/>
    <w:basedOn w:val="871"/>
    <w:next w:val="947"/>
    <w:link w:val="871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8">
    <w:name w:val="xl96"/>
    <w:basedOn w:val="871"/>
    <w:next w:val="948"/>
    <w:link w:val="871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9">
    <w:name w:val="xl97"/>
    <w:basedOn w:val="871"/>
    <w:next w:val="949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50">
    <w:name w:val="xl98"/>
    <w:basedOn w:val="871"/>
    <w:next w:val="950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51">
    <w:name w:val="xl99"/>
    <w:basedOn w:val="871"/>
    <w:next w:val="951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52">
    <w:name w:val="xl100"/>
    <w:basedOn w:val="871"/>
    <w:next w:val="952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53">
    <w:name w:val="xl101"/>
    <w:basedOn w:val="871"/>
    <w:next w:val="953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54">
    <w:name w:val="xl102"/>
    <w:basedOn w:val="871"/>
    <w:next w:val="954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5">
    <w:name w:val="xl103"/>
    <w:basedOn w:val="871"/>
    <w:next w:val="955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56">
    <w:name w:val="xl104"/>
    <w:basedOn w:val="871"/>
    <w:next w:val="956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7">
    <w:name w:val="xl105"/>
    <w:basedOn w:val="871"/>
    <w:next w:val="957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58">
    <w:name w:val="xl106"/>
    <w:basedOn w:val="871"/>
    <w:next w:val="958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9">
    <w:name w:val="xl107"/>
    <w:basedOn w:val="871"/>
    <w:next w:val="959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0">
    <w:name w:val="xl108"/>
    <w:basedOn w:val="871"/>
    <w:next w:val="960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1">
    <w:name w:val="xl109"/>
    <w:basedOn w:val="871"/>
    <w:next w:val="961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2">
    <w:name w:val="xl110"/>
    <w:basedOn w:val="871"/>
    <w:next w:val="962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3">
    <w:name w:val="xl111"/>
    <w:basedOn w:val="871"/>
    <w:next w:val="963"/>
    <w:link w:val="871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4">
    <w:name w:val="xl112"/>
    <w:basedOn w:val="871"/>
    <w:next w:val="964"/>
    <w:link w:val="871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5">
    <w:name w:val="xl113"/>
    <w:basedOn w:val="871"/>
    <w:next w:val="965"/>
    <w:link w:val="871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6">
    <w:name w:val="xl114"/>
    <w:basedOn w:val="871"/>
    <w:next w:val="966"/>
    <w:link w:val="871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7">
    <w:name w:val="xl115"/>
    <w:basedOn w:val="871"/>
    <w:next w:val="967"/>
    <w:link w:val="871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8">
    <w:name w:val="xl116"/>
    <w:basedOn w:val="871"/>
    <w:next w:val="968"/>
    <w:link w:val="871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9">
    <w:name w:val="xl117"/>
    <w:basedOn w:val="871"/>
    <w:next w:val="969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0">
    <w:name w:val="xl118"/>
    <w:basedOn w:val="871"/>
    <w:next w:val="970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1">
    <w:name w:val="xl119"/>
    <w:basedOn w:val="871"/>
    <w:next w:val="971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2">
    <w:name w:val="xl120"/>
    <w:basedOn w:val="871"/>
    <w:next w:val="972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3">
    <w:name w:val="xl121"/>
    <w:basedOn w:val="871"/>
    <w:next w:val="973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74">
    <w:name w:val="xl122"/>
    <w:basedOn w:val="871"/>
    <w:next w:val="974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75">
    <w:name w:val="xl123"/>
    <w:basedOn w:val="871"/>
    <w:next w:val="975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76">
    <w:name w:val="xl124"/>
    <w:basedOn w:val="871"/>
    <w:next w:val="976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77">
    <w:name w:val="xl125"/>
    <w:basedOn w:val="871"/>
    <w:next w:val="977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78">
    <w:name w:val="xl126"/>
    <w:basedOn w:val="871"/>
    <w:next w:val="978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9">
    <w:name w:val="xl127"/>
    <w:basedOn w:val="871"/>
    <w:next w:val="979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0">
    <w:name w:val="xl128"/>
    <w:basedOn w:val="871"/>
    <w:next w:val="980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81">
    <w:name w:val="Нет списка3"/>
    <w:next w:val="874"/>
    <w:link w:val="871"/>
    <w:uiPriority w:val="99"/>
    <w:semiHidden/>
    <w:unhideWhenUsed/>
  </w:style>
  <w:style w:type="paragraph" w:styleId="982">
    <w:name w:val="xl129"/>
    <w:basedOn w:val="871"/>
    <w:next w:val="982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83">
    <w:name w:val="xl130"/>
    <w:basedOn w:val="871"/>
    <w:next w:val="983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84">
    <w:name w:val="xl131"/>
    <w:basedOn w:val="871"/>
    <w:next w:val="984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85">
    <w:name w:val="Рецензия"/>
    <w:next w:val="985"/>
    <w:link w:val="871"/>
    <w:hidden/>
    <w:uiPriority w:val="99"/>
    <w:semiHidden/>
    <w:rPr>
      <w:sz w:val="22"/>
      <w:szCs w:val="22"/>
      <w:lang w:val="ru-RU" w:eastAsia="en-US" w:bidi="ar-SA"/>
    </w:rPr>
  </w:style>
  <w:style w:type="paragraph" w:styleId="986">
    <w:name w:val="xl132"/>
    <w:basedOn w:val="871"/>
    <w:next w:val="986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87">
    <w:name w:val="xl133"/>
    <w:basedOn w:val="871"/>
    <w:next w:val="987"/>
    <w:link w:val="871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88">
    <w:name w:val="Нет списка4"/>
    <w:next w:val="874"/>
    <w:link w:val="871"/>
    <w:uiPriority w:val="99"/>
    <w:semiHidden/>
    <w:unhideWhenUsed/>
  </w:style>
  <w:style w:type="character" w:styleId="989">
    <w:name w:val="Выделение"/>
    <w:next w:val="989"/>
    <w:link w:val="871"/>
    <w:uiPriority w:val="20"/>
    <w:qFormat/>
    <w:rPr>
      <w:i/>
      <w:iCs/>
    </w:rPr>
  </w:style>
  <w:style w:type="numbering" w:styleId="990">
    <w:name w:val="Нет списка5"/>
    <w:next w:val="874"/>
    <w:link w:val="871"/>
    <w:uiPriority w:val="99"/>
    <w:semiHidden/>
    <w:unhideWhenUsed/>
  </w:style>
  <w:style w:type="character" w:styleId="991">
    <w:name w:val="ConsPlusNormal Знак"/>
    <w:next w:val="991"/>
    <w:link w:val="886"/>
    <w:rPr>
      <w:rFonts w:eastAsia="Times New Roman" w:cs="Calibri"/>
      <w:sz w:val="22"/>
    </w:rPr>
  </w:style>
  <w:style w:type="paragraph" w:styleId="992">
    <w:name w:val="Обычный (веб)"/>
    <w:basedOn w:val="871"/>
    <w:next w:val="992"/>
    <w:link w:val="8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3" w:default="1">
    <w:name w:val="Default Paragraph Font"/>
    <w:uiPriority w:val="1"/>
    <w:semiHidden/>
    <w:unhideWhenUsed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revision>47</cp:revision>
  <dcterms:created xsi:type="dcterms:W3CDTF">2022-12-09T07:59:00Z</dcterms:created>
  <dcterms:modified xsi:type="dcterms:W3CDTF">2023-03-02T09:03:25Z</dcterms:modified>
  <cp:version>1048576</cp:version>
</cp:coreProperties>
</file>