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510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</w:t>
      </w:r>
      <w:r>
        <w:rPr>
          <w:rFonts w:ascii="Times New Roman" w:hAnsi="Times New Roman" w:cs="Times New Roman"/>
          <w:sz w:val="28"/>
          <w:szCs w:val="28"/>
        </w:rPr>
        <w:t xml:space="preserve">ральными законами от 27.07.2010 №210-ФЗ                     "Об организации предоставления государственных и муниципальных услуг", от 06.10.2003 №131-ФЗ "Об общих принципах организации местного самоуправления в Российской Федерации", от 23.11.1995 № 174-ФЗ</w:t>
      </w:r>
      <w:r>
        <w:rPr>
          <w:rFonts w:ascii="Times New Roman" w:hAnsi="Times New Roman" w:cs="Times New Roman"/>
          <w:sz w:val="28"/>
          <w:szCs w:val="28"/>
        </w:rPr>
        <w:t xml:space="preserve"> "Об экологической экспертизе", постановлением Правительства Российской Федерации от 20.07.2021 №1228 "Об утверждении Правил разработки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утверждения административных регламентов предоставления государственных услуг, о внесении изменений в некоторые акты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и признании утратившими силу некоторых актов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отдельных положений актов Правительства Российской Федерации",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 администрации города от 25.10.2024 №950 "О Порядке разработки и утверждения административных 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гламентов предоставления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услуг":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Утвердить административный регламент предоставления муниципальной услуги "Государственная регистрация заявлений о проведении общественной экологической экспертизы" согласно приложению.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</w:t>
      </w:r>
      <w:r>
        <w:rPr>
          <w:rFonts w:ascii="Times New Roman" w:hAnsi="Times New Roman" w:cs="Times New Roman"/>
          <w:sz w:val="28"/>
          <w:szCs w:val="28"/>
        </w:rPr>
        <w:t xml:space="preserve">шими силу постановления администрации города: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31.01.2020 </w:t>
      </w:r>
      <w:r>
        <w:rPr>
          <w:rFonts w:ascii="Times New Roman" w:hAnsi="Times New Roman" w:cs="Times New Roman"/>
          <w:sz w:val="28"/>
          <w:szCs w:val="28"/>
        </w:rPr>
        <w:t xml:space="preserve">№77 "О внесении изменений в постановление администрации города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от 29.10.2020 №922 "О внесении изменений в приложение                                   к постановлению администрации города от 27.02.2019 №122 "Об утверждении административного регламента предоставления муниципальной услуги "Государственная регистрация з</w:t>
      </w:r>
      <w:r>
        <w:rPr>
          <w:rFonts w:ascii="Times New Roman" w:hAnsi="Times New Roman" w:cs="Times New Roman"/>
          <w:sz w:val="28"/>
          <w:szCs w:val="28"/>
        </w:rPr>
        <w:t xml:space="preserve">аявлений о проведении общественной экологической экспертизы" (с изменениями от 31.01.2020 №77)";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от 11.05.2021 №368 "О внесении изменений в приложение                                     к постановлению администрации города от 27.02.2019 №122 "Об утвержд</w:t>
      </w:r>
      <w:r>
        <w:rPr>
          <w:rFonts w:ascii="Times New Roman" w:hAnsi="Times New Roman" w:cs="Times New Roman"/>
          <w:sz w:val="28"/>
          <w:szCs w:val="28"/>
        </w:rPr>
        <w:t xml:space="preserve">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 (с изменениями от 31.01.2020 №77, 29.10.2020 №922)";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15.12.2023 №1104 "О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приложение                                    к постановлению администрации города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</w:t>
      </w:r>
      <w:r>
        <w:rPr>
          <w:rFonts w:ascii="Times New Roman" w:hAnsi="Times New Roman" w:cs="Times New Roman"/>
          <w:sz w:val="28"/>
          <w:szCs w:val="28"/>
        </w:rPr>
        <w:t xml:space="preserve">огической экспертизы" (с изменениями от 31.01.2020 №77, 29.10.2020 №922, 11.05.2021 №368)".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 С.И. Ефремова, начальника управления по природопользованию         и экологии администрации города Ф.Ф. К</w:t>
      </w:r>
      <w:r>
        <w:rPr>
          <w:rFonts w:ascii="Times New Roman" w:hAnsi="Times New Roman" w:cs="Times New Roman"/>
          <w:sz w:val="28"/>
          <w:szCs w:val="28"/>
        </w:rPr>
        <w:t xml:space="preserve">адрова.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Д.А. Кощенко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№___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</w:t>
      </w:r>
      <w:r>
        <w:rPr>
          <w:rFonts w:ascii="Times New Roman" w:hAnsi="Times New Roman" w:cs="Times New Roman"/>
          <w:b/>
          <w:sz w:val="28"/>
          <w:szCs w:val="28"/>
        </w:rPr>
        <w:t xml:space="preserve">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"Государственная регистрация заявлений о проведении общественной экологической экспертизы"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 регулирования административного регламента.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регламент разработан в целях повышения качества предо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ставления и доступности муниципальной услуги, устанавливает сроки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последовательность административных процедур и административных действий Управления при предоставлении муниципальной услуги, а также порядок и 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условных обозначений и сокращений, используемых в административном регламенте, приведен в приложении 1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административному регламенту.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Круг заявителей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Заявителями на получение муниципальной услуги являются общественные объединения и друг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 негосударственные некоммерческие организации, основным направлением деятельности которых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их уставами является охрана окружающей среды, в том числе организация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проведение экологической экспертизы, и которые зарегистрированы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порядк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При предоставлении муниципальной услуги от имени заявителя вправе обратиться их представители, действующие в силу закона или на основании доверенности, оформленной в соответствии с законодательство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1.3. Требование предоставления заявителю муниципальной услуги                        в соответствии с категориями (признаками) заявителей, сведения о которых размещаются в федеральной государственной информационной системе "Федерал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ьный реестр государственных и муниципальных услуг (функций)"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в федеральной государственной информационной системе "Единый портал государственных и муниципальных услуг (функций)" (с момента реализации технической возможности).</w:t>
      </w:r>
      <w:r/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Муниципальная услуга предо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ставляется исходя из общих признаков заявителя,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альная услуга предоставляется заявителю в соответствии                     с категориями (признаками) заявителя по результатам получения ответов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(сведений) от заявителя, указанных им в заявлении, представленном по форме согласно приложению 3 к администрати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вному регламенту.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Стандарт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муниципальной услуги: "Государственная регистрация заявлений о проведении общественной экологической экспертизы"</w:t>
      </w:r>
      <w: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 Наименование 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Органом, предоставляющим муниципальную услугу, является администрация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Style w:val="9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Непосредственное предоставление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правление по природопользованию и экологии администрации города Нижневартовска.</w:t>
      </w:r>
      <w:r>
        <w:rPr>
          <w:rStyle w:val="901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получением муниципальной услуги заявитель может обратиться                         в Управление лично, а также в МФЦ в части подачи заявления и получения результата предоставления муниципальной услуги.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муниципальной услуги в МФЦ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основании соглашения о взаимодействии.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</w:t>
      </w:r>
      <w:r>
        <w:rPr>
          <w:rFonts w:ascii="Times New Roman" w:hAnsi="Times New Roman" w:cs="Times New Roman"/>
          <w:sz w:val="28"/>
          <w:szCs w:val="28"/>
        </w:rPr>
        <w:t xml:space="preserve">зультатом предоставления муниципальной услуги является: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 государственной регистрации за</w:t>
      </w:r>
      <w:r>
        <w:rPr>
          <w:rFonts w:ascii="Times New Roman" w:hAnsi="Times New Roman" w:cs="Times New Roman"/>
          <w:sz w:val="28"/>
          <w:szCs w:val="28"/>
        </w:rPr>
        <w:t xml:space="preserve">явления о проведении общественной экологической экспертизы;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решение об отказе в предоставлении муниципальной услуги по форме согласно приложению 4 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альной услуги не предусмотрено.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 зависимости от принятого Управлением решения                                              о предоставлении/отказе в предоставлении муниципальной услуги заявление                  о проведении общественной экологической 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кспертизы регистрируется                         в Журнале по форме согласно приложению 5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муниципальной услуги, является уведомление о государственной регистрации заявления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о проведении общественной экологической экспертизы.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 оформляется                              в письменной форме на фирменном бланке Управления за подписью начальника Управления либо лица, ег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замещающего.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 может быть получен путем личного обращения в Управление, в МФЦ,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почтовым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отправлением с 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имальный срок предоставления 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ниципальной услуги составляет 7 календарных дней с даты регистрации заявления в Управлении.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обращения заявителя за получением муниципальной услуги в МФЦ срок предоставления муниципальной услуги исчисляется со дня регистрации заявления в Управлении.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услуги, и спосо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бы ее взимания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Взимание государственной пошлины или иной платы за предоставление муниципальной услуги законодательством Российской Федерации                                      не предусмотрено.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ьный срок ожидания в очереди при подаче заявления                      </w:t>
      </w:r>
      <w:r>
        <w:rPr>
          <w:rFonts w:ascii="Times New Roman" w:hAnsi="Times New Roman" w:cs="Times New Roman"/>
          <w:strike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Управлении или МФЦ составляет 15 минут.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</w:t>
      </w:r>
      <w: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в Управлении осуществляется в СЭД в течение 1 рабо</w:t>
      </w:r>
      <w:r>
        <w:rPr>
          <w:rFonts w:ascii="Times New Roman" w:hAnsi="Times New Roman" w:cs="Times New Roman"/>
          <w:sz w:val="28"/>
          <w:szCs w:val="28"/>
        </w:rPr>
        <w:t xml:space="preserve">чего дня со дня поступления заявления и документов.</w:t>
      </w:r>
      <w:r/>
    </w:p>
    <w:p>
      <w:pPr>
        <w:ind w:firstLine="567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не позднее следующего рабочего дня п</w:t>
      </w:r>
      <w:r>
        <w:rPr>
          <w:rFonts w:ascii="Times New Roman" w:hAnsi="Times New Roman" w:cs="Times New Roman"/>
          <w:sz w:val="28"/>
          <w:szCs w:val="28"/>
        </w:rPr>
        <w:t xml:space="preserve">осле поступления заявления и документов из МФЦ.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2.8. 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услуга, размещены на официальном сайте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информационно-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телекомму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никационной сети "Интернет", а также на ЕПГУ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(с момента реализации технической возможности).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 к комфортности и доступности 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2.9. Показатели доступности и качества муниципальной услуги.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государственных и муниципальных услуг в многофункциональных центрах и особенности предоставления муниципальной услуги в электронной форме.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Услуги, необходимые и обязательные для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иципальной услуги, законодательством Российской Федерации не предусмотрены.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предоставления муниципальной услуги использует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система межведомственного электронного взаимодействия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 получением муниципальной услуги заявитель может также обратиться в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части подачи заявления и получения результата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йствии.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 Исчерпывающий перече</w:t>
      </w:r>
      <w:r>
        <w:rPr>
          <w:rFonts w:ascii="Times New Roman" w:hAnsi="Times New Roman" w:cs="Times New Roman"/>
          <w:sz w:val="28"/>
          <w:szCs w:val="28"/>
        </w:rPr>
        <w:t xml:space="preserve">нь документов, необходимых для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 законодательными и иными нормативными правовыми актами для предоставления муниципальной услуги, с разделением на документы и информацию, которые заявитель должен представить самостоятельно, и </w:t>
      </w:r>
      <w:r>
        <w:rPr>
          <w:rFonts w:ascii="Times New Roman" w:hAnsi="Times New Roman" w:cs="Times New Roman"/>
          <w:sz w:val="28"/>
          <w:szCs w:val="28"/>
        </w:rPr>
        <w:t xml:space="preserve">документы, которые заявитель вправе представить по собственной инициативе, так как они подлежат представлению в рамка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межведомственного информационного взаимодействия, приведен в приложении 6 к административному регламенту с учетом пункта 34(3) Правил.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особы подачи заявления и документов указаны в приложении 6 </w:t>
      </w:r>
      <w:r>
        <w:rPr>
          <w:rFonts w:ascii="Times New Roman" w:hAnsi="Times New Roman" w:cs="Times New Roman"/>
          <w:sz w:val="28"/>
          <w:szCs w:val="28"/>
        </w:rPr>
        <w:t xml:space="preserve">к административному регламенту в соответствии с требованиями, установленными пунктом 34(3) Правил.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 Исчерпывающий пе</w:t>
      </w:r>
      <w:r>
        <w:rPr>
          <w:rFonts w:ascii="Times New Roman" w:hAnsi="Times New Roman" w:cs="Times New Roman"/>
          <w:sz w:val="28"/>
          <w:szCs w:val="28"/>
        </w:rPr>
        <w:t xml:space="preserve">речень оснований для отказа в приеме запроса                 о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услуги 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Основания </w:t>
      </w:r>
      <w:r>
        <w:rPr>
          <w:rFonts w:ascii="Times New Roman" w:hAnsi="Times New Roman" w:cs="Times New Roman"/>
          <w:sz w:val="28"/>
          <w:szCs w:val="28"/>
        </w:rPr>
        <w:t xml:space="preserve">для приостановления предоставления муниципальной услуги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муниципальной услуги: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документов, указанных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приложении 6 к административному регламенту;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наличие в документах, представленных согласно приложению 6 к административному регламенту, неполных и (или) недостоверных сведений;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общественная экологическая экспертиза ранее была дважды проведена в отношении объекта общественной экологической эксперт</w:t>
      </w:r>
      <w:r>
        <w:rPr>
          <w:rFonts w:ascii="Times New Roman" w:hAnsi="Times New Roman" w:cs="Times New Roman"/>
          <w:sz w:val="28"/>
          <w:szCs w:val="28"/>
        </w:rPr>
        <w:t xml:space="preserve">изы;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общественное объединение и другая него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Федерального закона от 23.11.1995 №174-ФЗ "Об экологической экспертизе";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требования к содержанию заявления о проведении общественной экологической экспертизы, предусмотренные статьей 23 Федерального закона №174-ФЗ, не выполнены;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лицо, инициировавшее проведение общественной экологической экспертизы, не соответствует требова</w:t>
      </w:r>
      <w:r>
        <w:rPr>
          <w:rFonts w:ascii="Times New Roman" w:hAnsi="Times New Roman" w:cs="Times New Roman"/>
          <w:sz w:val="28"/>
          <w:szCs w:val="28"/>
        </w:rPr>
        <w:t xml:space="preserve">ниям статьи 20 настоящего Федерального закона;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№174-ФЗ;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документов неу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полномоченным лицом;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проведении общественной экологической экспертизы,                       в регистраци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которого в указанный срок не было отказано, считается зарегистрированным.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</w:t>
      </w:r>
      <w:r>
        <w:rPr>
          <w:rFonts w:ascii="Times New Roman" w:hAnsi="Times New Roman" w:cs="Times New Roman"/>
          <w:sz w:val="28"/>
          <w:szCs w:val="28"/>
        </w:rPr>
        <w:t xml:space="preserve"> и документов, оснований для приостановления предоставления муниципальной услуги или для отказа в предоставлении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ьной услуги с учетом категории (признаков) заявителя приведен в приложении 7 к 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2.13. Порядок исправления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допущенных опечаток и ошибок в выданных в 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  <w:r>
        <w:rPr>
          <w:highlight w:val="whit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Заявитель при обнаружении опечаток и (или) ошибок в докумен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те, выданном в результате предоставления муниципальной услуги, обращается лично или посредством почтового отправления в Управление с заявлением об исправлении опечаток и (или) ошибок, по форме согласно приложению 8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Регистра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ция заявления об исправлении опечаток и</w:t>
      </w:r>
      <w:r>
        <w:rPr>
          <w:rFonts w:ascii="Times New Roman" w:hAnsi="Times New Roman" w:cs="Times New Roman"/>
          <w:sz w:val="28"/>
          <w:szCs w:val="28"/>
        </w:rPr>
        <w:t xml:space="preserve"> (или) ошибок, осуществляется в Управлении в СЭД в течение 1 рабочего дня со дня поступления такого заявления.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при получении заявления об исправлении опечаток и (или) ошибок, рассматривает необходимость вне</w:t>
      </w:r>
      <w:r>
        <w:rPr>
          <w:rFonts w:ascii="Times New Roman" w:hAnsi="Times New Roman" w:cs="Times New Roman"/>
          <w:sz w:val="28"/>
          <w:szCs w:val="28"/>
        </w:rPr>
        <w:t xml:space="preserve">сения соответствующих изменений в документ, являющийся результатом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обеспечивает устранение опечаток и (или) ошибок в документе, являющемся результатом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устранения опеч</w:t>
      </w:r>
      <w:r>
        <w:rPr>
          <w:rFonts w:ascii="Times New Roman" w:hAnsi="Times New Roman" w:cs="Times New Roman"/>
          <w:sz w:val="28"/>
          <w:szCs w:val="28"/>
        </w:rPr>
        <w:t xml:space="preserve">аток и (или) ошибок не должен превышать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испр</w:t>
      </w:r>
      <w:r>
        <w:rPr>
          <w:rFonts w:ascii="Times New Roman" w:hAnsi="Times New Roman" w:cs="Times New Roman"/>
          <w:sz w:val="28"/>
          <w:szCs w:val="28"/>
        </w:rPr>
        <w:t xml:space="preserve">авлении опечаток и (или) ошибок в документе, выданном в результате предоставления муниципальной услуги: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заявления об исправлении опечаток и (или) ошибок неуполномоченным лицом;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опечаток и (или) ошибок в документе, выданном в ре</w:t>
      </w:r>
      <w:r>
        <w:rPr>
          <w:rFonts w:ascii="Times New Roman" w:hAnsi="Times New Roman" w:cs="Times New Roman"/>
          <w:sz w:val="28"/>
          <w:szCs w:val="28"/>
        </w:rPr>
        <w:t xml:space="preserve">зультате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исправлении опечаток и (или) ошибок в документе, выданном в результате предоставления муниципальной услуги, специалист Управления отказывает заявителю в исправлении опечаток и</w:t>
      </w:r>
      <w:r>
        <w:rPr>
          <w:rFonts w:ascii="Times New Roman" w:hAnsi="Times New Roman" w:cs="Times New Roman"/>
          <w:sz w:val="28"/>
          <w:szCs w:val="28"/>
        </w:rPr>
        <w:t xml:space="preserve"> (или) ошибок, допущенных в выданном в результате предоставления муниципальной услуги документе, путем направления уведомления об отказе </w:t>
      </w:r>
      <w:r>
        <w:rPr>
          <w:rFonts w:ascii="Times New Roman" w:hAnsi="Times New Roman" w:cs="Times New Roman"/>
          <w:sz w:val="28"/>
          <w:szCs w:val="28"/>
        </w:rPr>
        <w:br/>
        <w:t xml:space="preserve">в исправлении опечаток и (или) ошибок, допущенных в выданном в результате предоставления муниципальной услуги документ</w:t>
      </w:r>
      <w:r>
        <w:rPr>
          <w:rFonts w:ascii="Times New Roman" w:hAnsi="Times New Roman" w:cs="Times New Roman"/>
          <w:sz w:val="28"/>
          <w:szCs w:val="28"/>
        </w:rPr>
        <w:t xml:space="preserve">е, по форме согласно приложению 9 к административному регламенту в срок, не превышающий 3 рабочих дней с даты регистрации соответствующего заявления.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2.14. Порядок выдачи дубликата документа, выданного по результатам предоставления муниципальной услуги,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том числе исчерпывающий перечень оснований для отказа в выдаче этого дубликата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ликата по форме согласно приложению 10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административному регламенту в адрес Управления лично или почтовым отправлением.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рассматривает заявление о выдаче дубликата, представленное заявителем, и проводит проверку указанных в заявлении сведений.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выдачу (направление) заявителю дубликата документа, выданного по результатам предоставления муниципальной услуги, или направляет заявителю уведомление с обоснованным отказом в срок, не превышающий 10 рабочих дней с момента поступления заявлени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о выдаче дубликата.</w:t>
      </w:r>
      <w:r>
        <w:rPr>
          <w:rFonts w:ascii="Times New Roman" w:hAnsi="Times New Roman" w:cs="Times New Roman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 предоставления муниципальной услуги направляется способом, указанным в заявлении о выдаче дубликата.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в выдаче (направлению) заявителю дубликата: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в заявлении о выдаче дубликата документа информации, позволяющей идентифицировать ранее выданную информацию;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заявления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 неуполномоченным лицом 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Порядок оставления запроса заявителя о предоставлении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услуги без рассмотрения.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Заявитель не позднее 1 рабочего дня, предшествующего дню окончания срока предоставления муниципальной услуги, вправе обратиться в Управление с заявлением об оставлении заявления без рассмотрения в произвольной форме.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 о</w:t>
      </w:r>
      <w:r>
        <w:rPr>
          <w:rFonts w:ascii="Times New Roman" w:hAnsi="Times New Roman" w:cs="Times New Roman"/>
          <w:sz w:val="28"/>
          <w:szCs w:val="28"/>
        </w:rPr>
        <w:t xml:space="preserve">сновании поступившего заявления об оставлении заявления без рассмотрения Управление принимает решение об оставлении заявления без рассмотрения.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Решение об оставлении заявления без рассмотрения направляется заявителю не позднее 1 рабочего дня,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днем поступления заявления об оставлении заявления без рассмотрения.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Оставление заявления без рассмотрения не препятствует повторному обращению заявителя в Управление за получением муниципальной услуги.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Перечень осуществляемых при предоставлении муниципальной услуги административных процедур</w:t>
      </w:r>
      <w: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муниципальной услуги административных процедур: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профилирование заявителя;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прием заявления и документов;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межведомственное информационное взаимодействие;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(об отказе в предоставлении) муниципальной услуги;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результата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 в упреждающем (проактивном) режиме.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упреждающем (проактивном) режиме не предусмотрено.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Способы информирования заявителя об изменении статуса рассмотрения запроса о предоставлении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Информирование заявителя об изменении статуса рассмотрения заявления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уществляется посредством направления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почты, указанный в заявлении.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ind w:firstLine="552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обозначений и сокращ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- административный регламент предоставления 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ниципальной услуги "Государственная регистрация заявлений о проведении общественной экологической экспертизы".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АИС МФЦ - автоматизированная информационная система многофункциональных центров.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Документы - документы и (или) информация, необходимые для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ЕПГУ - федеральная государственная информационная система "Единый портал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осударственных и муниципальных услуг (функций)".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Журнал - журнал государственной регистрации заявлений общественных объединений и других негосударственных некоммерческих организаций, о проведении общественной экологической экспертизы.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Заявители - общ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ественные объединения и другие негосударственные некоммерческие организации,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зарегистрированы в порядке, установленном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Заявление - запрос о предоставлении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 Муниципальная услуга - муниципальная услуга "Государственная регистрация заявлений о проведении общественной 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кологической экспертизы.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Официальный сайт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официальный сайт органов местного самоуправления города Нижневартовска (https://www.n-vartovsk.ru/).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Профилирование - определение признаков заявителя.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оглашение о взаимодействии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соглашение о взаимодействии между автономным учреждением Ханты-Манс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ийского автономного округа - Югры "Многофункциональный центр предоставления государственных                                          и муниципальных услуг Югры" и администрацией города Нижневартовска.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СЭД - система электронного документооборота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Управление - управление по природопользованию и экологии администрации города.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Опечатки и (или) ошибки - допущенные опечатки и (или) ошибки в документе, выданном заявителю в результате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Заявлен</w:t>
      </w:r>
      <w:r>
        <w:rPr>
          <w:rFonts w:ascii="Times New Roman" w:hAnsi="Times New Roman" w:cs="Times New Roman"/>
          <w:sz w:val="28"/>
          <w:szCs w:val="28"/>
        </w:rPr>
        <w:t xml:space="preserve">ие об исправлении допущенных опечаток и ошибок - заявления об исправлении допущенных опечаток и (или) ошибок </w:t>
      </w:r>
      <w:r>
        <w:rPr>
          <w:rFonts w:ascii="Times New Roman" w:hAnsi="Times New Roman" w:cs="Times New Roman"/>
          <w:sz w:val="28"/>
          <w:szCs w:val="28"/>
        </w:rPr>
        <w:br/>
        <w:t xml:space="preserve">в документе, выданном заявителю в результате предоставления муниципальной услуги.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Заявление о выдаче дубликата - заявления 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Правила -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.07.2021 №1228 "Об утверждении Правил разработки и утверждения административных регламентов предоставления государственных услуг, о внесении изменений в некоторые акты Правительства Российской Федерации и признании утратившими силу некоторых актов и отдель</w:t>
      </w:r>
      <w:r>
        <w:rPr>
          <w:rFonts w:ascii="Times New Roman" w:hAnsi="Times New Roman" w:cs="Times New Roman"/>
          <w:sz w:val="28"/>
          <w:szCs w:val="28"/>
        </w:rPr>
        <w:t xml:space="preserve">ных положений актов Правительства Российской Федерации".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19. Федеральный закон №174-ФЗ - Федеральный закон от 23.11.1995 №174-ФЗ "Об экологической экспертизе".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20. ФГИС ПГС - Федеральная государственная информационная система "Единая система предоставления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и муниципальных услуг (сервисов)".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2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482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№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п/п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Признак заявителя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Значения признака заявителя </w:t>
            </w:r>
            <w:r/>
          </w:p>
        </w:tc>
      </w:tr>
      <w:tr>
        <w:trPr>
          <w:trHeight w:val="488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"Уведомление о государственной регистрации заявления                               о проведении общественной экологической экспертизы"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Категория заявителя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ридическое лицо (общественная организация (объединение))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Кто обращается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заявитель;</w:t>
            </w:r>
            <w:r/>
          </w:p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представитель</w:t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  <w:r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Приложение 3 к административному регламенту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ударственная регистрация заявлений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</w:rPr>
        <w:t xml:space="preserve">"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>
        <w:rPr>
          <w:rFonts w:ascii="Times New Roman" w:hAnsi="Times New Roman" w:cs="Times New Roman"/>
          <w:sz w:val="20"/>
        </w:rPr>
        <w:t xml:space="preserve">инициалы, фамилия начальника управления)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______________________________________________,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(наименование заявителя полностью)</w:t>
      </w:r>
      <w:r/>
    </w:p>
    <w:p>
      <w:pPr>
        <w:jc w:val="right"/>
        <w:spacing w:after="0" w:line="240" w:lineRule="auto"/>
      </w:pPr>
      <w:r/>
      <w:r/>
    </w:p>
    <w:p>
      <w:pPr>
        <w:jc w:val="center"/>
        <w:spacing w:after="0"/>
      </w:pPr>
      <w:r/>
      <w:r/>
    </w:p>
    <w:p>
      <w:pPr>
        <w:jc w:val="center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заявле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ние</w:t>
      </w:r>
      <w:r/>
    </w:p>
    <w:p>
      <w:pPr>
        <w:jc w:val="center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о проведении общественной экологической экспертизы.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0"/>
        </w:rPr>
        <w:t xml:space="preserve">(наименование общественной организации (объединения))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юридический адрес: __________________________________________________,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адр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ес места нахождения: ______________________________________________,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телефон:____________________________________________________________,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уставная деятельность которой (которого) состоит в _______________________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__________________________,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0"/>
        </w:rPr>
        <w:t xml:space="preserve">(характер предусмотренной уставом деятельности)</w:t>
      </w:r>
      <w:r/>
    </w:p>
    <w:p>
      <w:pPr>
        <w:jc w:val="both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разделом IV Федерального закона от 23.11.1995 №174-ФЗ            "Об экологической экспертизе" ходатайствует о проведении общественной  экологической экспертизы 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__________________________________________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____________________________________________________________________.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0"/>
        </w:rPr>
        <w:t xml:space="preserve">(указать сведения об объекте общественной экологической экспертизы)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709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состав экспертной комиссии общественной экологической экспертизы входят: ______________________________________________________________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0"/>
        </w:rPr>
        <w:t xml:space="preserve">(инициалы, фамилия, должность)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709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экологической экспертизы:                                   с "____" ___________ 20___ г. по "____" ___________ 20___ г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709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Документ, являющийся результатом предоставления муниципальной услуги, прошу выдать (направить) (нужное отметить галочк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ой):</w:t>
      </w:r>
      <w:r/>
    </w:p>
    <w:p>
      <w:pPr>
        <w:spacing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68580</wp:posOffset>
                </wp:positionV>
                <wp:extent cx="142875" cy="10477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1;o:allowoverlap:true;o:allowincell:true;mso-position-horizontal-relative:text;margin-left:21.1pt;mso-position-horizontal:absolute;mso-position-vertical-relative:text;margin-top:5.4pt;mso-position-vertical:absolute;width:11.2pt;height:8.2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в управлении при личном обращении;</w:t>
      </w:r>
      <w:r/>
    </w:p>
    <w:p>
      <w:pPr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68580</wp:posOffset>
                </wp:positionV>
                <wp:extent cx="142875" cy="10477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;o:allowoverlap:true;o:allowincell:true;mso-position-horizontal-relative:text;margin-left:21.1pt;mso-position-horizontal:absolute;mso-position-vertical-relative:text;margin-top:5.4pt;mso-position-vertical:absolute;width:11.2pt;height:8.2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отправления; </w:t>
      </w:r>
      <w:r/>
    </w:p>
    <w:p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68580</wp:posOffset>
                </wp:positionV>
                <wp:extent cx="142875" cy="10477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5;o:allowoverlap:true;o:allowincell:true;mso-position-horizontal-relative:text;margin-left:21.1pt;mso-position-horizontal:absolute;mso-position-vertical-relative:text;margin-top:5.4pt;mso-position-vertical:absolute;width:11.2pt;height:8.2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МФЦ на бумажном носителе.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709"/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Приложение**: ____________________________________________________________________</w:t>
      </w:r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</w:pPr>
      <w:r/>
      <w:r/>
    </w:p>
    <w:p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          ___________________</w:t>
      </w:r>
      <w:r/>
    </w:p>
    <w:p>
      <w:pPr>
        <w:spacing w:after="0"/>
      </w:pPr>
      <w:r>
        <w:rPr>
          <w:rFonts w:ascii="Times New Roman" w:hAnsi="Times New Roman" w:cs="Times New Roman"/>
          <w:sz w:val="20"/>
        </w:rPr>
        <w:t xml:space="preserve">           (дата)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(подпись)</w:t>
      </w:r>
      <w:r/>
    </w:p>
    <w:p>
      <w:pPr>
        <w:spacing w:after="0"/>
      </w:pPr>
      <w:r/>
      <w:r/>
    </w:p>
    <w:p>
      <w:pPr>
        <w:spacing w:after="0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</w:t>
      </w:r>
      <w:r/>
    </w:p>
    <w:p>
      <w:pPr>
        <w:jc w:val="both"/>
        <w:spacing w:after="0"/>
      </w:pPr>
      <w:r>
        <w:rPr>
          <w:rFonts w:ascii="Times New Roman" w:hAnsi="Times New Roman" w:eastAsia="Calibri" w:cs="Times New Roman"/>
          <w:szCs w:val="28"/>
        </w:rPr>
        <w:t xml:space="preserve">*</w:t>
      </w:r>
      <w:r>
        <w:rPr>
          <w:rFonts w:ascii="Times New Roman" w:hAnsi="Times New Roman" w:cs="Times New Roman"/>
          <w:szCs w:val="28"/>
        </w:rPr>
        <w:t xml:space="preserve">Поступившее от заявителя заявление о проведении общественной экологической экспертизы приравнивается к согласию такого заявителя с обработкой его персо</w:t>
      </w:r>
      <w:r>
        <w:rPr>
          <w:rFonts w:ascii="Times New Roman" w:hAnsi="Times New Roman" w:cs="Times New Roman"/>
          <w:szCs w:val="28"/>
        </w:rPr>
        <w:t xml:space="preserve">нальных данных в управлении по природопользованию и экологии администрации города Нижневартовска в целях и объеме, необходимых для предоставления муниципальной услуги.</w:t>
      </w:r>
      <w:r/>
    </w:p>
    <w:p>
      <w:pPr>
        <w:spacing w:after="0"/>
        <w:rPr>
          <w:rFonts w:ascii="Times New Roman" w:hAnsi="Times New Roman" w:eastAsia="Calibri" w:cs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Calibri" w:cs="Times New Roman"/>
          <w:szCs w:val="28"/>
        </w:rPr>
        <w:t xml:space="preserve">**По желанию.</w:t>
      </w:r>
      <w:r/>
    </w:p>
    <w:p>
      <w:pPr>
        <w:ind w:left="3261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4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Фирменный бланк управления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природопользова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нию и экологии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/>
    </w:p>
    <w:p>
      <w:pPr>
        <w:jc w:val="center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Кому 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0"/>
          <w:highlight w:val="white"/>
        </w:rPr>
        <w:t xml:space="preserve">                    (наименование заявителя) 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 w:cs="Times New Roman"/>
          <w:sz w:val="20"/>
          <w:highlight w:val="white"/>
        </w:rPr>
        <w:t xml:space="preserve">адрес, телефон, адрес электронной почты заявителя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 соотв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етствии с постановлением администрации города Нижневартовска от __________ №____ "Об утверждении административного регламента предоставления муниципальной услуги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(далее – административный регламент) управление по природопользованию                 и экологии администрации города (далее – Управление) рассмотрело заявление                               о предоставлении муниципальной услуги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дарственная регистрация заявлений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муниципальная услуга) и приняло решение об отказе в предоставлении муниципальной услуги по следующим основаниям:</w:t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Ссылка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 соответствующий пункт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административного регламента,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котором содержится основание для отказа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предоставлении муниципальной услуги</w:t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основания для отказа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предоставлении муниципальной услуги</w:t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Разъяснение причины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 отказе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предоставлении муниц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ипальной услуги</w:t>
            </w:r>
            <w:r/>
          </w:p>
        </w:tc>
      </w:tr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 вправе повторно обратиться в Управление с заявлением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предоставлении муниципальной услуги после устранения указанного основания для отказа в предоставлении муниципальной услуги.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Управление, а также в судебном порядке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законодательством Российской Федерации.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  <w:highlight w:val="white"/>
        </w:rPr>
        <w:t xml:space="preserve">  </w:t>
      </w:r>
      <w:r>
        <w:rPr>
          <w:rFonts w:ascii="Times New Roman" w:hAnsi="Times New Roman" w:cs="Times New Roman"/>
          <w:sz w:val="20"/>
          <w:highlight w:val="white"/>
        </w:rPr>
        <w:t xml:space="preserve">         (должность) </w:t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  <w:t xml:space="preserve">    (подпись, в том числе сведения                  (Ф.И.О. уполномоченного лица)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  <w:t xml:space="preserve">об электронной подписи)    </w:t>
      </w:r>
      <w:r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213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5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/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Журнал государственной регистрации</w:t>
      </w:r>
      <w:r/>
    </w:p>
    <w:p>
      <w:pPr>
        <w:jc w:val="center"/>
        <w:spacing w:after="0"/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заявлений общественных организаций (объединений)</w:t>
      </w:r>
      <w:r/>
    </w:p>
    <w:p>
      <w:pPr>
        <w:jc w:val="center"/>
        <w:spacing w:after="0"/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проведении общественной экологической экспертизы (ОЭЭ)</w:t>
      </w:r>
      <w:r/>
    </w:p>
    <w:p>
      <w:pPr>
        <w:spacing w:after="0"/>
      </w:pPr>
      <w:r/>
      <w:r/>
    </w:p>
    <w:tbl>
      <w:tblPr>
        <w:tblW w:w="144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493"/>
        <w:gridCol w:w="1830"/>
        <w:gridCol w:w="1484"/>
        <w:gridCol w:w="793"/>
        <w:gridCol w:w="1182"/>
        <w:gridCol w:w="1986"/>
        <w:gridCol w:w="847"/>
        <w:gridCol w:w="1111"/>
        <w:gridCol w:w="1785"/>
        <w:gridCol w:w="1563"/>
      </w:tblGrid>
      <w:tr>
        <w:trPr>
          <w:jc w:val="center"/>
          <w:trHeight w:val="697"/>
        </w:trPr>
        <w:tc>
          <w:tcPr>
            <w:tcW w:w="40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№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п/п</w:t>
            </w:r>
            <w:r/>
          </w:p>
        </w:tc>
        <w:tc>
          <w:tcPr>
            <w:tcW w:w="1493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Дата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поступления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и входящий 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номер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заявления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 проведении 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ОЭЭ</w:t>
            </w:r>
            <w:r/>
          </w:p>
        </w:tc>
        <w:tc>
          <w:tcPr>
            <w:tcW w:w="183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Наименование 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организации,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осуществляющей 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ОЭЭ</w:t>
            </w:r>
            <w:r/>
          </w:p>
        </w:tc>
        <w:tc>
          <w:tcPr>
            <w:tcW w:w="1484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Наименование 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объекта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ОЭЭ</w:t>
            </w:r>
            <w:r/>
          </w:p>
        </w:tc>
        <w:tc>
          <w:tcPr>
            <w:gridSpan w:val="2"/>
            <w:tcW w:w="1975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Плановые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сроки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проведения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ОЭЭ</w:t>
            </w:r>
            <w:r/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Реквизиты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уведомления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 государственной 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регистрации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или об отказе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в государственной 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регистрации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заявления</w:t>
            </w:r>
            <w:r/>
          </w:p>
          <w:p>
            <w:pPr>
              <w:ind w:left="-108" w:right="-108"/>
              <w:jc w:val="center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о проведении ОЭЭ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(дата, номер)</w:t>
            </w:r>
            <w:r/>
          </w:p>
        </w:tc>
        <w:tc>
          <w:tcPr>
            <w:gridSpan w:val="2"/>
            <w:tcW w:w="195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Реквизиты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регистрационной 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записи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 государственной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регистрации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заявления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 проведении ОЭЭ</w:t>
            </w:r>
            <w:r/>
          </w:p>
        </w:tc>
        <w:tc>
          <w:tcPr>
            <w:tcW w:w="178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Отметка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 выдаче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(направлении)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заявителю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уведомления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 государственной 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регистрации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или об отказе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 государственной 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регистрации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заявления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 проведении ОЭЭ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Должность,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фамилия,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имя, отчество, подпись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специалиста,</w:t>
            </w:r>
            <w:r/>
          </w:p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выполнившего 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запись</w:t>
            </w:r>
            <w:r/>
          </w:p>
        </w:tc>
      </w:tr>
      <w:tr>
        <w:trPr>
          <w:jc w:val="center"/>
        </w:trPr>
        <w:tc>
          <w:tcPr>
            <w:tcW w:w="40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14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183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1484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дата 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начала</w:t>
            </w:r>
            <w:r/>
          </w:p>
        </w:tc>
        <w:tc>
          <w:tcPr>
            <w:tcW w:w="118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дата </w:t>
            </w:r>
            <w:r/>
          </w:p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окончания</w:t>
            </w:r>
            <w:r/>
          </w:p>
        </w:tc>
        <w:tc>
          <w:tcPr>
            <w:tcW w:w="1986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дата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номер</w:t>
            </w:r>
            <w:r/>
          </w:p>
        </w:tc>
        <w:tc>
          <w:tcPr>
            <w:tcW w:w="1785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  <w:tc>
          <w:tcPr>
            <w:tcW w:w="156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</w:pPr>
            <w:r/>
            <w:r/>
          </w:p>
        </w:tc>
      </w:tr>
      <w:tr>
        <w:trPr>
          <w:jc w:val="center"/>
        </w:trPr>
        <w:tc>
          <w:tcPr>
            <w:tcW w:w="40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</w:t>
            </w:r>
            <w:r/>
          </w:p>
        </w:tc>
        <w:tc>
          <w:tcPr>
            <w:tcW w:w="1493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</w:t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4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5</w:t>
            </w:r>
            <w:r/>
          </w:p>
        </w:tc>
        <w:tc>
          <w:tcPr>
            <w:tcW w:w="118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6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7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</w:t>
            </w:r>
            <w:r/>
          </w:p>
        </w:tc>
        <w:tc>
          <w:tcPr>
            <w:tcW w:w="1785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10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11</w:t>
            </w:r>
            <w:r/>
          </w:p>
        </w:tc>
      </w:tr>
      <w:tr>
        <w:trPr>
          <w:jc w:val="center"/>
        </w:trPr>
        <w:tc>
          <w:tcPr>
            <w:tcW w:w="40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9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8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  <w:sectPr>
          <w:footnotePr/>
          <w:endnotePr/>
          <w:type w:val="nextPage"/>
          <w:pgSz w:w="16838" w:h="11905" w:orient="landscape"/>
          <w:pgMar w:top="1701" w:right="1134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left="3261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6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52"/>
      </w:tblGrid>
      <w:tr>
        <w:trPr/>
        <w:tc>
          <w:tcPr>
            <w:gridSpan w:val="2"/>
            <w:tcW w:w="98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"Уведомление о государственной регистрации заявления                                 о проведении общественной экологической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</w:t>
            </w:r>
            <w:r/>
          </w:p>
        </w:tc>
      </w:tr>
      <w:tr>
        <w:trPr>
          <w:trHeight w:val="623"/>
        </w:trPr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ридическое лицо (общественная орга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низации (объединение))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Исчерпывающий перечень документов,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который заявитель должен представить самостоятельно при личном обращении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аявление о предоставлении муниципальной услуги по форме согласно приложению 3 к административному регламенту;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окумент, удостоверяющий личность заявителя</w:t>
            </w:r>
            <w:r/>
          </w:p>
        </w:tc>
      </w:tr>
      <w:tr>
        <w:trPr>
          <w:trHeight w:val="253"/>
        </w:trPr>
        <w:tc>
          <w:tcPr>
            <w:tcW w:w="28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Исчерпывающий перечень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который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 обращении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)</w:t>
            </w:r>
            <w:r/>
          </w:p>
        </w:tc>
        <w:tc>
          <w:tcPr>
            <w:tcW w:w="70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аявление о предоставлении муниципальной услуги по форме согласно приложению 3 к административному регламенту;</w:t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окумент, удостоверяющий личность представителя заявителя;</w:t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окумент, подтверждающий полномочия представи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теля заявителя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Исчерпывающий перечень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который заявитель вправе представить по собственной инициативе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сведения из Единого государственного реестра юридических лиц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Исчерпывающий перечень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который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(при обращении представителя)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сведения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728"/>
        </w:trPr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Способ подачи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ind w:right="148"/>
              <w:jc w:val="both"/>
              <w:spacing w:after="0" w:line="240" w:lineRule="auto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личное обращение в Управление;</w:t>
            </w:r>
            <w:r/>
          </w:p>
          <w:p>
            <w:pPr>
              <w:ind w:right="148"/>
              <w:jc w:val="both"/>
              <w:spacing w:after="0" w:line="240" w:lineRule="auto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почтовое отправление (в случае подачи заявления путем направления почтового отправления верность заявления и прилагаемых к нему копий документов должна быть засвидетельствована нотариусом);</w:t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МФЦ</w:t>
            </w:r>
            <w:r/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7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ind w:left="3261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апроса </w:t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предоставлении муниципальной услуги и документов,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предоставления муниципальной услуги,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оснований для приостановления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муниципальной услуги или отказа в предоставлении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2"/>
        <w:gridCol w:w="7051"/>
      </w:tblGrid>
      <w:tr>
        <w:trPr/>
        <w:tc>
          <w:tcPr>
            <w:gridSpan w:val="2"/>
            <w:tcW w:w="9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"Уведомление 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государственной регистрации заявления                                 о проведении общественной экологической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ридическое лицо (общественная организации (объединение))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Перечень оснований для отказа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приеме заявления</w:t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предоставлении муниципальной услуги и документов,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необходимых для предоставления муниципальной услуги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предусмотрено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Перечень оснований для приостановления предоставления муниципальной услуги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предусмотрено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Перечень оснований для отказа в предоставлении мун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иципальной услуги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непредставление документов,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приложении 6 к административному регламенту;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 документах, представленных согласно приложению 6 к административному регламенту, неполных и (или) недостоверных сведений;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общественная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кологическая экспертиза ранее была дважды проведена в отношении объекта общественной экологической экспертизы;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общественное объединение и другая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негосударственная некоммерчес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Федерального закона №174-ФЗ;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требования к содержанию заявления о проведении общественной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ической экспертизы, предусмотренные статьей 23 Федерального закона от 23.11.1995 №174-ФЗ Федерального закона №174-ФЗ;</w:t>
            </w:r>
            <w:r/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указанные в заявлении кандидатуры лиц, привлекаемых к проведению общественной экологической экспертизы, не соответствуют требованиям,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тановленным Федеральным законом №174-ФЗ;</w:t>
            </w:r>
            <w:r/>
          </w:p>
          <w:p>
            <w:pPr>
              <w:ind w:firstLine="283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лицо, инициировавшее проведение общественной экологической экспертизы, не соответствует требованиям статьи 20 настоящего Федерального закона;</w:t>
            </w:r>
            <w:r/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документов неуполномоченным лицом.</w:t>
            </w:r>
            <w:r/>
          </w:p>
        </w:tc>
      </w:tr>
    </w:tbl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8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регистрация заявлений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>
        <w:rPr>
          <w:rFonts w:ascii="Times New Roman" w:hAnsi="Times New Roman" w:cs="Times New Roman"/>
          <w:sz w:val="20"/>
        </w:rPr>
        <w:t xml:space="preserve">инициалы, фамилия начальника управления)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___________,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(наименование заявителя полностью)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(или) ошибок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в документах, выданных заявителю в результате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Просим исправить допущенную опечатку и (или) ошибку в документе 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(реквизиты документа, заявленного к исправлению)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име</w:t>
      </w:r>
      <w:r>
        <w:rPr>
          <w:rFonts w:ascii="Times New Roman" w:hAnsi="Times New Roman" w:cs="Times New Roman"/>
          <w:sz w:val="28"/>
          <w:szCs w:val="28"/>
        </w:rPr>
        <w:t xml:space="preserve">нно: 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(заявитель, представитель)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(подпись)                 </w:t>
      </w:r>
      <w:r>
        <w:rPr>
          <w:rFonts w:ascii="Times New Roman" w:hAnsi="Times New Roman" w:cs="Times New Roman"/>
          <w:sz w:val="20"/>
        </w:rPr>
        <w:tab/>
        <w:t xml:space="preserve">     </w:t>
      </w:r>
      <w:r>
        <w:rPr>
          <w:rFonts w:ascii="Times New Roman" w:hAnsi="Times New Roman" w:cs="Times New Roman"/>
          <w:sz w:val="20"/>
        </w:rPr>
        <w:tab/>
        <w:t xml:space="preserve">      (расшифровка)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заявителя) 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" __ " _________ 20__ г.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9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регистр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ация заявлений                            о проведении общественной экологической экспертизы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Форма </w:t>
      </w:r>
      <w:r/>
    </w:p>
    <w:p>
      <w:pPr>
        <w:jc w:val="center"/>
        <w:spacing w:after="0" w:line="240" w:lineRule="auto"/>
        <w:rPr>
          <w:strike/>
        </w:rPr>
      </w:pPr>
      <w:r>
        <w:rPr>
          <w:strike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Фирменный бланк управления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природопользованию и экологии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/>
    </w:p>
    <w:p>
      <w:pPr>
        <w:jc w:val="both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</w:t>
      </w:r>
      <w:r/>
    </w:p>
    <w:p>
      <w:pPr>
        <w:ind w:left="4677"/>
        <w:jc w:val="center"/>
        <w:spacing w:after="0" w:line="240" w:lineRule="auto"/>
        <w:rPr>
          <w:sz w:val="20"/>
        </w:rPr>
      </w:pPr>
      <w:r>
        <w:rPr>
          <w:rFonts w:ascii="Times New Roman" w:hAnsi="Times New Roman" w:eastAsia="Times New Roman"/>
          <w:sz w:val="20"/>
          <w:highlight w:val="white"/>
        </w:rPr>
        <w:t xml:space="preserve">(фамилия, имя, отчество </w:t>
      </w:r>
      <w:r/>
    </w:p>
    <w:p>
      <w:pPr>
        <w:ind w:left="4677"/>
        <w:jc w:val="center"/>
        <w:spacing w:after="0" w:line="240" w:lineRule="auto"/>
        <w:rPr>
          <w:sz w:val="20"/>
        </w:rPr>
      </w:pPr>
      <w:r>
        <w:rPr>
          <w:rFonts w:ascii="Times New Roman" w:hAnsi="Times New Roman" w:eastAsia="Times New Roman"/>
          <w:sz w:val="20"/>
          <w:highlight w:val="white"/>
        </w:rPr>
        <w:t xml:space="preserve">(последнее - при наличии) заявителя)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адрес: 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адрес электронной почты: 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</w:t>
      </w:r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Уведомление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об отказе в исправлении опечаток и (или) ошибок,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допущенных в выданном в результате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муниципальной услуги документе</w:t>
      </w:r>
      <w:r/>
    </w:p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Сообщаю, что Ваше заявление от _____________ №________, поступившее в управление по природопользованию и экологии администрац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ии города Нижневартовска, рассмотрено.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результатам рассмотрения заявления и документов Вам отказано                        в исправлении опечаток и (или) ошибок по следующим основаниям: 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(должность лица,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принявшего решение)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(подпись)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left="3261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10 к административному регламенту предоставления муниципальной услуги "Государственная регистрация заявлений                            о проведении общественной экологической экспертизы"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>
        <w:rPr>
          <w:rFonts w:ascii="Times New Roman" w:hAnsi="Times New Roman" w:cs="Times New Roman"/>
          <w:sz w:val="20"/>
        </w:rPr>
        <w:t xml:space="preserve">инициалы, фамилия начальника управления)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___________,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(наименование заявителя полностью)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выдаче дубликата документа, выданного по результатам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Просим выдать дубликат документа, выданного по результатам предоставления муниципальной услуги "Госуда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рственная регистрация заявлений о проведении общественной экологической экспертизы"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(реквизит</w:t>
      </w:r>
      <w:r>
        <w:rPr>
          <w:rFonts w:ascii="Times New Roman" w:hAnsi="Times New Roman" w:cs="Times New Roman"/>
          <w:sz w:val="20"/>
          <w:highlight w:val="white"/>
        </w:rPr>
        <w:t xml:space="preserve">ы док</w:t>
      </w:r>
      <w:r>
        <w:rPr>
          <w:rFonts w:ascii="Times New Roman" w:hAnsi="Times New Roman" w:cs="Times New Roman"/>
          <w:sz w:val="20"/>
          <w:highlight w:val="white"/>
        </w:rPr>
        <w:t xml:space="preserve">умента, заявленного</w:t>
      </w:r>
      <w:r>
        <w:rPr>
          <w:rFonts w:ascii="Times New Roman" w:hAnsi="Times New Roman" w:cs="Times New Roman"/>
          <w:sz w:val="20"/>
        </w:rPr>
        <w:t xml:space="preserve"> к выдаче дубликата)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Способ выдачи дубликата:</w:t>
      </w:r>
      <w:r/>
    </w:p>
    <w:p>
      <w:pPr>
        <w:spacing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68580</wp:posOffset>
                </wp:positionV>
                <wp:extent cx="142875" cy="104775"/>
                <wp:effectExtent l="0" t="0" r="0" b="0"/>
                <wp:wrapNone/>
                <wp:docPr id="4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;o:allowoverlap:true;o:allowincell:true;mso-position-horizontal-relative:text;margin-left:21.1pt;mso-position-horizontal:absolute;mso-position-vertical-relative:text;margin-top:5.4pt;mso-position-vertical:absolute;width:11.2pt;height:8.2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в управлении при личном обращении;</w:t>
      </w:r>
      <w:r/>
    </w:p>
    <w:p>
      <w:pPr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68580</wp:posOffset>
                </wp:positionV>
                <wp:extent cx="142875" cy="104775"/>
                <wp:effectExtent l="0" t="0" r="0" b="0"/>
                <wp:wrapNone/>
                <wp:docPr id="5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4;o:allowoverlap:true;o:allowincell:true;mso-position-horizontal-relative:text;margin-left:21.1pt;mso-position-horizontal:absolute;mso-position-vertical-relative:text;margin-top:5.4pt;mso-position-vertical:absolute;width:11.2pt;height:8.2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отправления; 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(заявитель, представитель)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(подпись)                 </w:t>
      </w:r>
      <w:r>
        <w:rPr>
          <w:rFonts w:ascii="Times New Roman" w:hAnsi="Times New Roman" w:cs="Times New Roman"/>
          <w:sz w:val="20"/>
        </w:rPr>
        <w:tab/>
        <w:t xml:space="preserve">     </w:t>
      </w:r>
      <w:r>
        <w:rPr>
          <w:rFonts w:ascii="Times New Roman" w:hAnsi="Times New Roman" w:cs="Times New Roman"/>
          <w:sz w:val="20"/>
        </w:rPr>
        <w:tab/>
        <w:t xml:space="preserve">      (расшифровка)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заявителя) 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" __ " _________ 20__ г.</w:t>
      </w:r>
      <w:r/>
    </w:p>
    <w:sectPr>
      <w:footnotePr/>
      <w:endnotePr/>
      <w:type w:val="nextPage"/>
      <w:pgSz w:w="11905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Anonymous Pro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fldChar w:fldCharType="begin"/>
    </w:r>
    <w:r>
      <w:rPr>
        <w:rFonts w:ascii="Tahoma" w:hAnsi="Tahoma"/>
        <w:sz w:val="24"/>
      </w:rPr>
      <w:instrText xml:space="preserve">PAGE   \* MERGEFORMAT</w:instrText>
    </w:r>
    <w:r>
      <w:rPr>
        <w:rFonts w:ascii="Tahoma" w:hAnsi="Tahoma"/>
        <w:sz w:val="24"/>
      </w:rPr>
      <w:fldChar w:fldCharType="separate"/>
    </w:r>
    <w:r>
      <w:rPr>
        <w:rFonts w:ascii="Tahoma" w:hAnsi="Tahoma"/>
        <w:sz w:val="24"/>
      </w:rPr>
      <w:t xml:space="preserve">21</w:t>
    </w:r>
    <w:r>
      <w:rPr>
        <w:rFonts w:ascii="Tahoma" w:hAnsi="Tahoma"/>
        <w:sz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Tahoma" w:cs="Tahoma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spacing w:after="200" w:line="276" w:lineRule="auto"/>
    </w:pPr>
    <w:rPr>
      <w:color w:val="000000"/>
      <w:sz w:val="22"/>
    </w:rPr>
  </w:style>
  <w:style w:type="paragraph" w:styleId="674">
    <w:name w:val="Heading 1"/>
    <w:basedOn w:val="673"/>
    <w:next w:val="673"/>
    <w:link w:val="882"/>
    <w:uiPriority w:val="9"/>
    <w:qFormat/>
    <w:pPr>
      <w:jc w:val="both"/>
      <w:spacing w:before="120" w:after="120"/>
      <w:outlineLvl w:val="0"/>
    </w:pPr>
    <w:rPr>
      <w:rFonts w:ascii="Arial" w:hAnsi="Arial"/>
      <w:b/>
      <w:sz w:val="32"/>
    </w:rPr>
  </w:style>
  <w:style w:type="paragraph" w:styleId="675">
    <w:name w:val="Heading 2"/>
    <w:basedOn w:val="673"/>
    <w:next w:val="673"/>
    <w:link w:val="897"/>
    <w:uiPriority w:val="9"/>
    <w:qFormat/>
    <w:pPr>
      <w:jc w:val="both"/>
      <w:spacing w:before="120" w:after="120"/>
      <w:outlineLvl w:val="1"/>
    </w:pPr>
    <w:rPr>
      <w:rFonts w:ascii="Arial" w:hAnsi="Arial"/>
      <w:b/>
      <w:sz w:val="28"/>
    </w:rPr>
  </w:style>
  <w:style w:type="paragraph" w:styleId="676">
    <w:name w:val="Heading 3"/>
    <w:basedOn w:val="673"/>
    <w:next w:val="673"/>
    <w:link w:val="872"/>
    <w:uiPriority w:val="9"/>
    <w:qFormat/>
    <w:pPr>
      <w:jc w:val="both"/>
      <w:spacing w:before="120" w:after="120"/>
      <w:outlineLvl w:val="2"/>
    </w:pPr>
    <w:rPr>
      <w:rFonts w:ascii="Arial" w:hAnsi="Arial"/>
      <w:b/>
      <w:sz w:val="26"/>
    </w:rPr>
  </w:style>
  <w:style w:type="paragraph" w:styleId="677">
    <w:name w:val="Heading 4"/>
    <w:basedOn w:val="673"/>
    <w:next w:val="673"/>
    <w:link w:val="895"/>
    <w:uiPriority w:val="9"/>
    <w:qFormat/>
    <w:pPr>
      <w:jc w:val="both"/>
      <w:spacing w:before="120" w:after="120"/>
      <w:outlineLvl w:val="3"/>
    </w:pPr>
    <w:rPr>
      <w:rFonts w:ascii="Arial" w:hAnsi="Arial"/>
      <w:b/>
      <w:sz w:val="24"/>
    </w:rPr>
  </w:style>
  <w:style w:type="paragraph" w:styleId="678">
    <w:name w:val="Heading 5"/>
    <w:basedOn w:val="673"/>
    <w:next w:val="673"/>
    <w:link w:val="881"/>
    <w:uiPriority w:val="9"/>
    <w:qFormat/>
    <w:pPr>
      <w:jc w:val="both"/>
      <w:spacing w:before="120" w:after="120"/>
      <w:outlineLvl w:val="4"/>
    </w:pPr>
    <w:rPr>
      <w:rFonts w:ascii="Arial" w:hAnsi="Arial"/>
      <w:b/>
    </w:rPr>
  </w:style>
  <w:style w:type="paragraph" w:styleId="679">
    <w:name w:val="Heading 6"/>
    <w:basedOn w:val="673"/>
    <w:next w:val="673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80">
    <w:name w:val="Heading 7"/>
    <w:basedOn w:val="673"/>
    <w:next w:val="673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81">
    <w:name w:val="Heading 8"/>
    <w:basedOn w:val="673"/>
    <w:next w:val="673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82">
    <w:name w:val="Heading 9"/>
    <w:basedOn w:val="673"/>
    <w:next w:val="673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Footnote Text Char"/>
    <w:uiPriority w:val="99"/>
    <w:rPr>
      <w:sz w:val="18"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73"/>
    <w:link w:val="871"/>
    <w:pPr>
      <w:contextualSpacing/>
      <w:ind w:left="720"/>
    </w:pPr>
  </w:style>
  <w:style w:type="paragraph" w:styleId="704">
    <w:name w:val="No Spacing"/>
    <w:link w:val="896"/>
    <w:rPr>
      <w:color w:val="000000"/>
      <w:sz w:val="22"/>
    </w:rPr>
  </w:style>
  <w:style w:type="paragraph" w:styleId="705">
    <w:name w:val="Title"/>
    <w:basedOn w:val="673"/>
    <w:next w:val="673"/>
    <w:link w:val="894"/>
    <w:uiPriority w:val="10"/>
    <w:qFormat/>
    <w:pPr>
      <w:jc w:val="center"/>
      <w:spacing w:before="567" w:after="567"/>
    </w:pPr>
    <w:rPr>
      <w:rFonts w:ascii="Arial" w:hAnsi="Arial"/>
      <w:b/>
      <w:caps/>
      <w:sz w:val="40"/>
    </w:rPr>
  </w:style>
  <w:style w:type="character" w:styleId="706" w:customStyle="1">
    <w:name w:val="Title Char"/>
    <w:uiPriority w:val="10"/>
    <w:rPr>
      <w:sz w:val="48"/>
      <w:szCs w:val="48"/>
    </w:rPr>
  </w:style>
  <w:style w:type="paragraph" w:styleId="707">
    <w:name w:val="Subtitle"/>
    <w:basedOn w:val="673"/>
    <w:next w:val="673"/>
    <w:link w:val="892"/>
    <w:uiPriority w:val="11"/>
    <w:qFormat/>
    <w:pPr>
      <w:jc w:val="both"/>
    </w:pPr>
    <w:rPr>
      <w:rFonts w:ascii="Arial" w:hAnsi="Arial"/>
      <w:i/>
      <w:sz w:val="24"/>
    </w:rPr>
  </w:style>
  <w:style w:type="character" w:styleId="708" w:customStyle="1">
    <w:name w:val="Subtitle Char"/>
    <w:uiPriority w:val="11"/>
    <w:rPr>
      <w:sz w:val="24"/>
      <w:szCs w:val="24"/>
    </w:rPr>
  </w:style>
  <w:style w:type="paragraph" w:styleId="709">
    <w:name w:val="Quote"/>
    <w:basedOn w:val="673"/>
    <w:next w:val="673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73"/>
    <w:next w:val="673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73"/>
    <w:link w:val="87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Header Char"/>
    <w:uiPriority w:val="99"/>
  </w:style>
  <w:style w:type="paragraph" w:styleId="715">
    <w:name w:val="Footer"/>
    <w:basedOn w:val="673"/>
    <w:link w:val="883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Footer Char"/>
    <w:uiPriority w:val="99"/>
  </w:style>
  <w:style w:type="paragraph" w:styleId="717">
    <w:name w:val="Caption"/>
    <w:basedOn w:val="673"/>
    <w:next w:val="673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8" w:customStyle="1">
    <w:name w:val="Caption Char"/>
    <w:uiPriority w:val="99"/>
  </w:style>
  <w:style w:type="table" w:styleId="719">
    <w:name w:val="Table Grid"/>
    <w:basedOn w:val="684"/>
    <w:tblPr/>
  </w:style>
  <w:style w:type="table" w:styleId="72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5">
    <w:name w:val="Hyperlink"/>
    <w:link w:val="885"/>
    <w:rPr>
      <w:color w:val="0000ff"/>
      <w:u w:val="single"/>
    </w:rPr>
  </w:style>
  <w:style w:type="paragraph" w:styleId="846">
    <w:name w:val="footnote text"/>
    <w:basedOn w:val="67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67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673"/>
    <w:next w:val="673"/>
    <w:link w:val="887"/>
    <w:uiPriority w:val="39"/>
    <w:rPr>
      <w:rFonts w:ascii="Arial" w:hAnsi="Arial"/>
      <w:b/>
      <w:sz w:val="28"/>
    </w:rPr>
  </w:style>
  <w:style w:type="paragraph" w:styleId="853">
    <w:name w:val="toc 2"/>
    <w:basedOn w:val="673"/>
    <w:next w:val="673"/>
    <w:link w:val="865"/>
    <w:uiPriority w:val="39"/>
    <w:pPr>
      <w:ind w:left="200"/>
    </w:pPr>
    <w:rPr>
      <w:rFonts w:ascii="Arial" w:hAnsi="Arial"/>
      <w:sz w:val="28"/>
    </w:rPr>
  </w:style>
  <w:style w:type="paragraph" w:styleId="854">
    <w:name w:val="toc 3"/>
    <w:basedOn w:val="673"/>
    <w:next w:val="673"/>
    <w:link w:val="876"/>
    <w:uiPriority w:val="39"/>
    <w:pPr>
      <w:ind w:left="400"/>
    </w:pPr>
    <w:rPr>
      <w:rFonts w:ascii="Arial" w:hAnsi="Arial"/>
      <w:sz w:val="28"/>
    </w:rPr>
  </w:style>
  <w:style w:type="paragraph" w:styleId="855">
    <w:name w:val="toc 4"/>
    <w:basedOn w:val="673"/>
    <w:next w:val="673"/>
    <w:link w:val="866"/>
    <w:uiPriority w:val="39"/>
    <w:pPr>
      <w:ind w:left="600"/>
    </w:pPr>
    <w:rPr>
      <w:rFonts w:ascii="Arial" w:hAnsi="Arial"/>
      <w:sz w:val="28"/>
    </w:rPr>
  </w:style>
  <w:style w:type="paragraph" w:styleId="856">
    <w:name w:val="toc 5"/>
    <w:basedOn w:val="673"/>
    <w:next w:val="673"/>
    <w:link w:val="891"/>
    <w:uiPriority w:val="39"/>
    <w:pPr>
      <w:ind w:left="800"/>
    </w:pPr>
    <w:rPr>
      <w:rFonts w:ascii="Arial" w:hAnsi="Arial"/>
      <w:sz w:val="28"/>
    </w:rPr>
  </w:style>
  <w:style w:type="paragraph" w:styleId="857">
    <w:name w:val="toc 6"/>
    <w:basedOn w:val="673"/>
    <w:next w:val="673"/>
    <w:link w:val="868"/>
    <w:uiPriority w:val="39"/>
    <w:pPr>
      <w:ind w:left="1000"/>
    </w:pPr>
    <w:rPr>
      <w:rFonts w:ascii="Arial" w:hAnsi="Arial"/>
      <w:sz w:val="28"/>
    </w:rPr>
  </w:style>
  <w:style w:type="paragraph" w:styleId="858">
    <w:name w:val="toc 7"/>
    <w:basedOn w:val="673"/>
    <w:next w:val="673"/>
    <w:link w:val="869"/>
    <w:uiPriority w:val="39"/>
    <w:pPr>
      <w:ind w:left="1200"/>
    </w:pPr>
    <w:rPr>
      <w:rFonts w:ascii="Arial" w:hAnsi="Arial"/>
      <w:sz w:val="28"/>
    </w:rPr>
  </w:style>
  <w:style w:type="paragraph" w:styleId="859">
    <w:name w:val="toc 8"/>
    <w:basedOn w:val="673"/>
    <w:next w:val="673"/>
    <w:link w:val="890"/>
    <w:uiPriority w:val="39"/>
    <w:pPr>
      <w:ind w:left="1400"/>
    </w:pPr>
    <w:rPr>
      <w:rFonts w:ascii="Arial" w:hAnsi="Arial"/>
      <w:sz w:val="28"/>
    </w:rPr>
  </w:style>
  <w:style w:type="paragraph" w:styleId="860">
    <w:name w:val="toc 9"/>
    <w:basedOn w:val="673"/>
    <w:next w:val="673"/>
    <w:link w:val="889"/>
    <w:uiPriority w:val="39"/>
    <w:pPr>
      <w:ind w:left="1600"/>
    </w:pPr>
    <w:rPr>
      <w:rFonts w:ascii="Arial" w:hAnsi="Arial"/>
      <w:sz w:val="28"/>
    </w:rPr>
  </w:style>
  <w:style w:type="paragraph" w:styleId="861">
    <w:name w:val="TOC Heading"/>
    <w:uiPriority w:val="39"/>
    <w:unhideWhenUsed/>
    <w:rPr>
      <w:lang w:eastAsia="zh-CN"/>
    </w:rPr>
  </w:style>
  <w:style w:type="paragraph" w:styleId="862">
    <w:name w:val="table of figures"/>
    <w:basedOn w:val="673"/>
    <w:next w:val="673"/>
    <w:uiPriority w:val="99"/>
    <w:unhideWhenUsed/>
    <w:pPr>
      <w:spacing w:after="0"/>
    </w:pPr>
  </w:style>
  <w:style w:type="character" w:styleId="863" w:customStyle="1">
    <w:name w:val="Обычный1"/>
    <w:rPr>
      <w:sz w:val="22"/>
    </w:rPr>
  </w:style>
  <w:style w:type="character" w:styleId="864" w:customStyle="1">
    <w:name w:val="ConsPlusTitle"/>
    <w:link w:val="864"/>
    <w:rPr>
      <w:b/>
      <w:sz w:val="22"/>
    </w:rPr>
  </w:style>
  <w:style w:type="character" w:styleId="865" w:customStyle="1">
    <w:name w:val="Оглавление 2 Знак"/>
    <w:link w:val="853"/>
    <w:rPr>
      <w:rFonts w:ascii="Arial" w:hAnsi="Arial"/>
      <w:sz w:val="28"/>
    </w:rPr>
  </w:style>
  <w:style w:type="character" w:styleId="866" w:customStyle="1">
    <w:name w:val="Оглавление 4 Знак"/>
    <w:link w:val="855"/>
    <w:rPr>
      <w:rFonts w:ascii="Arial" w:hAnsi="Arial"/>
      <w:sz w:val="28"/>
    </w:rPr>
  </w:style>
  <w:style w:type="paragraph" w:styleId="867" w:customStyle="1">
    <w:name w:val="Основной шрифт абзаца1"/>
    <w:rPr>
      <w:color w:val="000000"/>
    </w:rPr>
  </w:style>
  <w:style w:type="character" w:styleId="868" w:customStyle="1">
    <w:name w:val="Оглавление 6 Знак"/>
    <w:link w:val="857"/>
    <w:rPr>
      <w:rFonts w:ascii="Arial" w:hAnsi="Arial"/>
      <w:sz w:val="28"/>
    </w:rPr>
  </w:style>
  <w:style w:type="character" w:styleId="869" w:customStyle="1">
    <w:name w:val="Оглавление 7 Знак"/>
    <w:link w:val="858"/>
    <w:rPr>
      <w:rFonts w:ascii="Arial" w:hAnsi="Arial"/>
      <w:sz w:val="28"/>
    </w:rPr>
  </w:style>
  <w:style w:type="character" w:styleId="870" w:customStyle="1">
    <w:name w:val="ConsPlusTitlePage"/>
    <w:link w:val="870"/>
    <w:rPr>
      <w:rFonts w:ascii="Cambria Math" w:hAnsi="Cambria Math"/>
    </w:rPr>
  </w:style>
  <w:style w:type="character" w:styleId="871" w:customStyle="1">
    <w:name w:val="Абзац списка Знак"/>
    <w:link w:val="703"/>
    <w:rPr>
      <w:sz w:val="22"/>
    </w:rPr>
  </w:style>
  <w:style w:type="character" w:styleId="872" w:customStyle="1">
    <w:name w:val="Заголовок 3 Знак"/>
    <w:link w:val="676"/>
    <w:rPr>
      <w:rFonts w:ascii="Arial" w:hAnsi="Arial"/>
      <w:b/>
      <w:sz w:val="26"/>
    </w:rPr>
  </w:style>
  <w:style w:type="character" w:styleId="873" w:customStyle="1">
    <w:name w:val="ConsPlusNonformat"/>
    <w:link w:val="873"/>
    <w:rPr>
      <w:rFonts w:ascii="Anonymous Pro" w:hAnsi="Anonymous Pro"/>
    </w:rPr>
  </w:style>
  <w:style w:type="character" w:styleId="874" w:customStyle="1">
    <w:name w:val="Верхний колонтитул Знак"/>
    <w:link w:val="713"/>
    <w:uiPriority w:val="99"/>
    <w:rPr>
      <w:sz w:val="22"/>
    </w:rPr>
  </w:style>
  <w:style w:type="character" w:styleId="875" w:customStyle="1">
    <w:name w:val="ConsPlusNormal"/>
    <w:rPr>
      <w:sz w:val="22"/>
    </w:rPr>
  </w:style>
  <w:style w:type="character" w:styleId="876" w:customStyle="1">
    <w:name w:val="Оглавление 3 Знак"/>
    <w:link w:val="854"/>
    <w:rPr>
      <w:rFonts w:ascii="Arial" w:hAnsi="Arial"/>
      <w:sz w:val="28"/>
    </w:rPr>
  </w:style>
  <w:style w:type="paragraph" w:styleId="877">
    <w:name w:val="Balloon Text"/>
    <w:basedOn w:val="673"/>
    <w:link w:val="878"/>
    <w:pPr>
      <w:spacing w:after="0" w:line="240" w:lineRule="auto"/>
    </w:pPr>
    <w:rPr>
      <w:rFonts w:ascii="Cambria Math" w:hAnsi="Cambria Math"/>
      <w:sz w:val="16"/>
    </w:rPr>
  </w:style>
  <w:style w:type="character" w:styleId="878" w:customStyle="1">
    <w:name w:val="Текст выноски Знак"/>
    <w:link w:val="877"/>
    <w:rPr>
      <w:rFonts w:ascii="Cambria Math" w:hAnsi="Cambria Math"/>
      <w:sz w:val="16"/>
    </w:rPr>
  </w:style>
  <w:style w:type="paragraph" w:styleId="879" w:customStyle="1">
    <w:name w:val="Строгий1"/>
    <w:link w:val="880"/>
    <w:rPr>
      <w:b/>
      <w:color w:val="000000"/>
    </w:rPr>
  </w:style>
  <w:style w:type="character" w:styleId="880">
    <w:name w:val="Strong"/>
    <w:link w:val="879"/>
    <w:rPr>
      <w:b/>
    </w:rPr>
  </w:style>
  <w:style w:type="character" w:styleId="881" w:customStyle="1">
    <w:name w:val="Заголовок 5 Знак"/>
    <w:link w:val="678"/>
    <w:rPr>
      <w:rFonts w:ascii="Arial" w:hAnsi="Arial"/>
      <w:b/>
      <w:sz w:val="22"/>
    </w:rPr>
  </w:style>
  <w:style w:type="character" w:styleId="882" w:customStyle="1">
    <w:name w:val="Заголовок 1 Знак"/>
    <w:link w:val="674"/>
    <w:rPr>
      <w:rFonts w:ascii="Arial" w:hAnsi="Arial"/>
      <w:b/>
      <w:sz w:val="32"/>
    </w:rPr>
  </w:style>
  <w:style w:type="character" w:styleId="883" w:customStyle="1">
    <w:name w:val="Нижний колонтитул Знак"/>
    <w:link w:val="715"/>
    <w:rPr>
      <w:sz w:val="22"/>
    </w:rPr>
  </w:style>
  <w:style w:type="character" w:styleId="884" w:customStyle="1">
    <w:name w:val="Нормальный (таблица)"/>
    <w:link w:val="884"/>
    <w:rPr>
      <w:rFonts w:ascii="Calibri" w:hAnsi="Calibri"/>
      <w:sz w:val="24"/>
    </w:rPr>
  </w:style>
  <w:style w:type="paragraph" w:styleId="885" w:customStyle="1">
    <w:name w:val="Гиперссылка1"/>
    <w:link w:val="845"/>
    <w:rPr>
      <w:color w:val="0000ff"/>
      <w:u w:val="single"/>
    </w:rPr>
  </w:style>
  <w:style w:type="character" w:styleId="886" w:customStyle="1">
    <w:name w:val="Footnote"/>
    <w:link w:val="886"/>
    <w:rPr>
      <w:rFonts w:ascii="Arial" w:hAnsi="Arial"/>
      <w:sz w:val="22"/>
    </w:rPr>
  </w:style>
  <w:style w:type="character" w:styleId="887" w:customStyle="1">
    <w:name w:val="Оглавление 1 Знак"/>
    <w:link w:val="852"/>
    <w:rPr>
      <w:rFonts w:ascii="Arial" w:hAnsi="Arial"/>
      <w:b/>
      <w:sz w:val="28"/>
    </w:rPr>
  </w:style>
  <w:style w:type="character" w:styleId="888" w:customStyle="1">
    <w:name w:val="Header and Footer"/>
    <w:link w:val="888"/>
    <w:rPr>
      <w:rFonts w:ascii="Arial" w:hAnsi="Arial"/>
      <w:sz w:val="20"/>
    </w:rPr>
  </w:style>
  <w:style w:type="character" w:styleId="889" w:customStyle="1">
    <w:name w:val="Оглавление 9 Знак"/>
    <w:link w:val="860"/>
    <w:rPr>
      <w:rFonts w:ascii="Arial" w:hAnsi="Arial"/>
      <w:sz w:val="28"/>
    </w:rPr>
  </w:style>
  <w:style w:type="character" w:styleId="890" w:customStyle="1">
    <w:name w:val="Оглавление 8 Знак"/>
    <w:link w:val="859"/>
    <w:rPr>
      <w:rFonts w:ascii="Arial" w:hAnsi="Arial"/>
      <w:sz w:val="28"/>
    </w:rPr>
  </w:style>
  <w:style w:type="character" w:styleId="891" w:customStyle="1">
    <w:name w:val="Оглавление 5 Знак"/>
    <w:link w:val="856"/>
    <w:rPr>
      <w:rFonts w:ascii="Arial" w:hAnsi="Arial"/>
      <w:sz w:val="28"/>
    </w:rPr>
  </w:style>
  <w:style w:type="character" w:styleId="892" w:customStyle="1">
    <w:name w:val="Подзаголовок Знак"/>
    <w:link w:val="707"/>
    <w:rPr>
      <w:rFonts w:ascii="Arial" w:hAnsi="Arial"/>
      <w:i/>
      <w:sz w:val="24"/>
    </w:rPr>
  </w:style>
  <w:style w:type="character" w:styleId="893" w:customStyle="1">
    <w:name w:val="Гипертекстовая ссылка"/>
    <w:link w:val="893"/>
    <w:rPr>
      <w:color w:val="106bbe"/>
    </w:rPr>
  </w:style>
  <w:style w:type="character" w:styleId="894" w:customStyle="1">
    <w:name w:val="Заголовок Знак"/>
    <w:link w:val="705"/>
    <w:rPr>
      <w:rFonts w:ascii="Arial" w:hAnsi="Arial"/>
      <w:b/>
      <w:caps/>
      <w:sz w:val="40"/>
    </w:rPr>
  </w:style>
  <w:style w:type="character" w:styleId="895" w:customStyle="1">
    <w:name w:val="Заголовок 4 Знак"/>
    <w:link w:val="677"/>
    <w:rPr>
      <w:rFonts w:ascii="Arial" w:hAnsi="Arial"/>
      <w:b/>
      <w:sz w:val="24"/>
    </w:rPr>
  </w:style>
  <w:style w:type="character" w:styleId="896" w:customStyle="1">
    <w:name w:val="Без интервала Знак"/>
    <w:link w:val="704"/>
    <w:rPr>
      <w:sz w:val="22"/>
    </w:rPr>
  </w:style>
  <w:style w:type="character" w:styleId="897" w:customStyle="1">
    <w:name w:val="Заголовок 2 Знак"/>
    <w:link w:val="675"/>
    <w:rPr>
      <w:rFonts w:ascii="Arial" w:hAnsi="Arial"/>
      <w:b/>
      <w:sz w:val="28"/>
    </w:rPr>
  </w:style>
  <w:style w:type="table" w:styleId="898" w:customStyle="1">
    <w:name w:val="Сетка таблицы1"/>
    <w:basedOn w:val="684"/>
    <w:tblPr/>
  </w:style>
  <w:style w:type="table" w:styleId="899" w:customStyle="1">
    <w:name w:val="Сетка таблицы2"/>
    <w:basedOn w:val="684"/>
    <w:tblPr/>
  </w:style>
  <w:style w:type="paragraph" w:styleId="900" w:customStyle="1">
    <w:name w:val="GenStyleDefPar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901">
    <w:name w:val="annotation reference"/>
    <w:uiPriority w:val="99"/>
    <w:semiHidden/>
    <w:unhideWhenUsed/>
    <w:rPr>
      <w:sz w:val="16"/>
      <w:szCs w:val="16"/>
    </w:rPr>
  </w:style>
  <w:style w:type="paragraph" w:styleId="902">
    <w:name w:val="annotation text"/>
    <w:basedOn w:val="673"/>
    <w:link w:val="903"/>
    <w:uiPriority w:val="99"/>
    <w:semiHidden/>
    <w:unhideWhenUsed/>
    <w:rPr>
      <w:sz w:val="20"/>
    </w:rPr>
  </w:style>
  <w:style w:type="character" w:styleId="903" w:customStyle="1">
    <w:name w:val="Текст примечания Знак"/>
    <w:link w:val="902"/>
    <w:uiPriority w:val="99"/>
    <w:semiHidden/>
    <w:rPr>
      <w:color w:val="000000"/>
    </w:rPr>
  </w:style>
  <w:style w:type="paragraph" w:styleId="904">
    <w:name w:val="annotation subject"/>
    <w:basedOn w:val="902"/>
    <w:next w:val="902"/>
    <w:link w:val="905"/>
    <w:uiPriority w:val="99"/>
    <w:semiHidden/>
    <w:unhideWhenUsed/>
    <w:rPr>
      <w:b/>
      <w:bCs/>
    </w:rPr>
  </w:style>
  <w:style w:type="character" w:styleId="905" w:customStyle="1">
    <w:name w:val="Тема примечания Знак"/>
    <w:link w:val="904"/>
    <w:uiPriority w:val="99"/>
    <w:semiHidden/>
    <w:rPr>
      <w:b/>
      <w:bCs/>
      <w:color w:val="000000"/>
    </w:rPr>
  </w:style>
  <w:style w:type="paragraph" w:styleId="906">
    <w:name w:val="Normal (Web)"/>
    <w:basedOn w:val="673"/>
    <w:uiPriority w:val="99"/>
    <w:unhideWhenUsed/>
    <w:pPr>
      <w:spacing w:before="100" w:beforeAutospacing="1" w:after="100" w:afterAutospacing="1" w:line="240" w:lineRule="auto"/>
    </w:pPr>
    <w:rPr>
      <w:rFonts w:ascii="Tahoma" w:hAnsi="Tahoma"/>
      <w:sz w:val="24"/>
      <w:szCs w:val="24"/>
    </w:rPr>
  </w:style>
  <w:style w:type="character" w:styleId="907" w:customStyle="1">
    <w:name w:val="ConsPlusNormal Знак"/>
    <w:link w:val="875"/>
    <w:rPr>
      <w:rFonts w:eastAsia="Times New Roman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Брызгунова Нина Николаевна</dc:creator>
  <cp:revision>146</cp:revision>
  <dcterms:created xsi:type="dcterms:W3CDTF">2025-08-25T10:52:00Z</dcterms:created>
  <dcterms:modified xsi:type="dcterms:W3CDTF">2026-01-27T04:36:44Z</dcterms:modified>
  <cp:version>1048576</cp:version>
</cp:coreProperties>
</file>