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Департамент промышленности </w:t>
      </w:r>
      <w:r/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Ханты-Мансийского автономного округа – Югры </w:t>
      </w:r>
      <w:r/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извещает о проведении </w:t>
      </w:r>
      <w:r/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окружного конкурса «Лидеры туриндустрии Югры»</w:t>
      </w:r>
      <w:r/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tbl>
      <w:tblPr>
        <w:tblW w:w="10607" w:type="dxa"/>
        <w:tblInd w:w="-740" w:type="dxa"/>
        <w:tblLayout w:type="fixed"/>
        <w:tblLook w:val="04A0" w:firstRow="1" w:lastRow="0" w:firstColumn="1" w:lastColumn="0" w:noHBand="0" w:noVBand="1"/>
      </w:tblPr>
      <w:tblGrid>
        <w:gridCol w:w="666"/>
        <w:gridCol w:w="9941"/>
      </w:tblGrid>
      <w:tr>
        <w:trPr>
          <w:trHeight w:val="1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0" w:type="dxa"/>
            <w:vAlign w:val="center"/>
            <w:textDirection w:val="lrTb"/>
            <w:noWrap w:val="false"/>
          </w:tcPr>
          <w:p>
            <w:pPr>
              <w:contextualSpacing/>
              <w:ind w:firstLine="515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none"/>
              </w:rPr>
              <w:t xml:space="preserve">С 30 сентября 2024 года по 16 ноября 2024 года</w:t>
            </w:r>
            <w:r>
              <w:rPr>
                <w:sz w:val="24"/>
                <w:szCs w:val="24"/>
              </w:rPr>
              <w:t xml:space="preserve"> проводится окружной конкурс «Лидеры туриндустрии Югры» (далее – Конкурс).</w:t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ind w:firstLine="515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Конкурс проводится по следующим номинациям: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 «Лучший туроператор по внутреннему и въездному туризму».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2. «Лучшая гостиница (отель)».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3. «Лучший загородный отдых».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4. «Лучшее этнографическое стойбище».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5. «Гастрономия: югорская классика».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6. «Югорские впечатления (экскурсионный проект)».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7. «Лучший экскурсовод (гид), гид-переводчик, инструктор-проводник».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8. «Туризм без барьеров: доступная среда в путешествиях по Югре».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9. «Лучшая публикация/видеоматериал о путешествиях по Югре»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0" w:type="dxa"/>
            <w:textDirection w:val="lrTb"/>
            <w:noWrap w:val="false"/>
          </w:tcPr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b/>
                <w:bCs/>
                <w:sz w:val="24"/>
                <w:szCs w:val="24"/>
              </w:rPr>
              <w:t xml:space="preserve">Конкурс проводится в два этапа: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I этап – </w:t>
            </w:r>
            <w:r>
              <w:rPr>
                <w:sz w:val="24"/>
                <w:szCs w:val="24"/>
                <w:highlight w:val="none"/>
              </w:rPr>
              <w:t xml:space="preserve"> с 30 сентября 2024 года по 20 октября 2024 года</w:t>
            </w:r>
            <w:r>
              <w:rPr>
                <w:sz w:val="24"/>
                <w:szCs w:val="24"/>
                <w:highlight w:val="none"/>
              </w:rPr>
              <w:t xml:space="preserve"> (прием и регистрация заявок);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9"/>
              <w:contextualSpacing/>
              <w:ind w:firstLine="709"/>
              <w:jc w:val="both"/>
              <w:spacing w:before="0" w:after="0"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II этап – </w:t>
            </w:r>
            <w:r>
              <w:rPr>
                <w:sz w:val="24"/>
                <w:szCs w:val="24"/>
                <w:highlight w:val="none"/>
              </w:rPr>
              <w:t xml:space="preserve">с 21 октября 2024 года по 1 ноября 2024 года</w:t>
            </w:r>
            <w:r>
              <w:rPr>
                <w:sz w:val="24"/>
                <w:szCs w:val="24"/>
                <w:highlight w:val="none"/>
              </w:rPr>
              <w:t xml:space="preserve"> (рассмотрение заявок Экспертным советом по определению победителей Конкурса).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Конкурсная документация на участие в Конкурсе предоставляется по адресу электронной почты: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depprom@admhmao.ru, либо непосредственно или почтовым отправлением </w:t>
            </w:r>
            <w:r>
              <w:t xml:space="preserve">по адресу: </w:t>
            </w:r>
            <w:r>
              <w:t xml:space="preserve">628011,</w:t>
            </w:r>
            <w:r>
              <w:t xml:space="preserve"> Ханты-Мансийский автономный округ – Югра, г. Ханты-Мансийск, ул. Рознина, д. 64, каб. 116, 315,</w:t>
            </w:r>
            <w:r>
              <w:t xml:space="preserve"> Управление туризма Департамента промышленности Ханты-Мансийского автономного округа – Югры.</w:t>
            </w:r>
            <w:r/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0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Участники, номинации Конкурса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/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 Кандидат в номинации «Лучший туроператор по внутреннему и въездному туризму» – </w:t>
            </w:r>
            <w:r>
              <w:t xml:space="preserve">субъект туристской индустрии, осуществляющий туроператорскую деятельность по внутреннему и въездному туризму.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2. </w:t>
            </w:r>
            <w:r>
              <w:t xml:space="preserve">Кандидат в номинации «Лучшая гостиница (отель)» – субъект туристской  индустрии, осуществляющий деятельность по оказанию услуг по размещению в </w:t>
            </w:r>
            <w:r>
              <w:t xml:space="preserve">соответствии с видом экономической деятельности ОКВЭД </w:t>
            </w:r>
            <w:r>
              <w:t xml:space="preserve">55.10</w:t>
            </w:r>
            <w:r>
              <w:t xml:space="preserve"> «Деятельность гостиниц и прочих мест для временного проживания», </w:t>
            </w:r>
            <w:r>
              <w:t xml:space="preserve">прошедший обязательное категорирование в соответствии с </w:t>
            </w:r>
            <w:r>
              <w:t xml:space="preserve">постановлением</w:t>
            </w:r>
            <w:r>
              <w:t xml:space="preserve"> Правительства Российской Федерации от 14 апреля 2017 года № 447 «Об утв</w:t>
            </w:r>
            <w:r>
              <w:t xml:space="preserve">ерждении требований к антитеррористической</w:t>
            </w:r>
            <w:r>
              <w:t xml:space="preserve"> защищенности гостиниц и иных средств размещения и формы паспорта безопасности этих объектов» (далее - постановление № 447).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3. Кандидат в номинации </w:t>
            </w:r>
            <w:r>
              <w:t xml:space="preserve">«Лучший загородный отдых»</w:t>
            </w:r>
            <w:r>
              <w:t xml:space="preserve"> – субъект туристской индустрии, оказывающ</w:t>
            </w:r>
            <w:r>
              <w:t xml:space="preserve">ий </w:t>
            </w:r>
            <w:r>
              <w:t xml:space="preserve">комплекс услуг по размещению в соответствии с видом экономической деятельности ОКВЭД 55.10 «Деятельность гостиниц и прочих мест для временного проживания», питанию и культурно-бытовому обслуживанию туристов в загородной локации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4. Кандидат в номинации «Лучшее этнографическое стойбище» – субъект туристской индустрии, оказывающий</w:t>
            </w:r>
            <w:r>
              <w:t xml:space="preserve"> </w:t>
            </w:r>
            <w:r>
              <w:t xml:space="preserve">комплекс услуг по размещению, питанию и культурно-бытовому обслуживанию туристов на объектах этнографической направленности, в соответствии с видами экономической деятельности ОКВЭД 55.10 «Деятельность гостиниц и прочих мест для временного прожива</w:t>
            </w:r>
            <w:r>
              <w:t xml:space="preserve">ния», 56.10 «Деятельность ресторанов и услуги по доставке продуктов питания».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5. Кандидат в номинации </w:t>
            </w:r>
            <w:r>
              <w:t xml:space="preserve">«Гастрономия: югорская классика»</w:t>
            </w:r>
            <w:r>
              <w:t xml:space="preserve"> – субъект туристской индустрии, осуществляющий деятельность </w:t>
            </w:r>
            <w:r>
              <w:t xml:space="preserve">п</w:t>
            </w:r>
            <w:r>
              <w:t xml:space="preserve">о оказанию услуг по предоставлению продуктов питания и напитков, готовых к употреблению непосредственно на месте и предлагаемых в традиционных ресторанах, заведениях самообслуживания, на предприятиях питания, отпускающих продукцию навынос, а также прочих п</w:t>
            </w:r>
            <w:r>
              <w:t xml:space="preserve">редприятия</w:t>
            </w:r>
            <w:r>
              <w:t xml:space="preserve">х питания, работающих на постоянной или временной основе, с предоставлением мест для сидения или без, в соответствии с ОКВЭД 56 «Деятельность по предоставлению продуктов питания и напитков», в постоянном меню которого присутствуют блюда традиционной кухни </w:t>
            </w:r>
            <w:r>
              <w:t xml:space="preserve">народов ханты и манси</w:t>
            </w:r>
            <w:r>
              <w:t xml:space="preserve">.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6. Кандидат в номинации </w:t>
            </w:r>
            <w:r>
              <w:t xml:space="preserve">«Югорские впечатления (экскурсионный проект)»</w:t>
            </w:r>
            <w:r>
              <w:t xml:space="preserve"> – субъект туристской индустрии, осуществляющий деятельность по</w:t>
            </w:r>
            <w:r>
              <w:t xml:space="preserve"> оказанию туристических и экскурсионных услуг в соответствии с ОКВЭД 79 «Деятельность туристических агентств и прочих организаций, предоставляющих услуги в сфере туризма».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7. Кандидат в номинации «Лучший экскурсовод (гид), гид-переводчик, инструктор-проводник» – субъект туристской индустрии, </w:t>
            </w:r>
            <w:r>
              <w:t xml:space="preserve">явл</w:t>
            </w:r>
            <w:r>
              <w:t xml:space="preserve">яющийся аттестованным экскурсоводом (гидом), гидом-переводчиком или инструктором-проводником, информация о котором размещена в едином федеральном реестре экскурсоводов и гидов-переводчиков или едином федеральном реестре инструкторов-проводников, осуществля</w:t>
            </w:r>
            <w:r>
              <w:t xml:space="preserve">ющий деятельность по ознакомлению экскурсантов (туристов) с объектами показа, а также сопровождающий туристов и обеспечивающий их безопасность при прохождении туристских маршрутов</w:t>
            </w:r>
            <w:r>
              <w:t xml:space="preserve">.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8. Кандидат</w:t>
            </w:r>
            <w:r>
              <w:t xml:space="preserve"> в номинации </w:t>
            </w:r>
            <w:r>
              <w:t xml:space="preserve">«Туризм без барьеров: доступная среда в путешествиях по Югре»</w:t>
            </w:r>
            <w:r>
              <w:t xml:space="preserve"> – является </w:t>
            </w:r>
            <w:r>
              <w:t xml:space="preserve">объектом туристского показа и (или) точкой притяжения туристов, и (или) объектом размещения туристов, обеспечивающим беспрепятственный доступ гостям с ограниченными возможностями здоровья</w:t>
            </w:r>
            <w:r>
              <w:t xml:space="preserve">.</w:t>
            </w:r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9. Кандидат в номинации «</w:t>
            </w:r>
            <w:r>
              <w:t xml:space="preserve">Лучшая публикация/видеоматериал о путешествиях по Югре»</w:t>
            </w:r>
            <w:r>
              <w:t xml:space="preserve"> – </w:t>
            </w:r>
            <w:r>
              <w:t xml:space="preserve">является блогером, СМИ, владельцем телеграм-канала, иным информационным ресурсом, независимо от формы собственности.</w:t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Порядок проведения Конкур</w:t>
            </w:r>
            <w:r>
              <w:t xml:space="preserve">са</w:t>
            </w:r>
            <w:r/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/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 Кандидаты для участия в Конкурсе </w:t>
            </w:r>
            <w:r>
              <w:t xml:space="preserve">предоставляют следующие документы</w:t>
            </w:r>
            <w:r>
              <w:t xml:space="preserve">: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1.1. Заявка Кандидата по форме, утвержденной приказом Департамента (прилагается).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1.2. Копии договоров о сотрудничестве с туристскими предприятиями автономного округа, заключенных </w:t>
            </w:r>
            <w:r>
              <w:t xml:space="preserve">за 2 предыдущих года и в текущем году, для Кандидатов, указанных в подпунктах 1.3.1, 1.3.3, 1.3.4, 1.3.5, 1.3.6 пункта 1.3 Положения.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1.3. Методические разработки экскурсий, где указаны: цели и задачи, их краткое содержание, основные объекты показа, целева</w:t>
            </w:r>
            <w:r>
              <w:t xml:space="preserve">я аудитория, текст экскурсий (при наличии), для Кандидатов, указанных в подпункте 1.3.7 пункта 1.3 Положения.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1.4. Копии отзывов о работе Кандидата (при наличии), копии благодарственных писем (при наличии), информационные и рекламные материалы, проспекты (</w:t>
            </w:r>
            <w:r>
              <w:t xml:space="preserve">при наличии), копии свидетельств и дипломов (при наличии).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1.5. Видеоматериалы на носителях формата DVD (с приложением эфирной справки в свободной форме, подписанной руководителем организации). Формат записи AVI без сжатия, размер 720 x 576 </w:t>
            </w:r>
            <w:r>
              <w:t xml:space="preserve">pix</w:t>
            </w:r>
            <w:r>
              <w:t xml:space="preserve">. Частота </w:t>
            </w:r>
            <w:r>
              <w:t xml:space="preserve">ау</w:t>
            </w:r>
            <w:r>
              <w:t xml:space="preserve">диопотока</w:t>
            </w:r>
            <w:r>
              <w:t xml:space="preserve"> 48 кГц. Каждый видеоматериал должен быть записан на диск 4,7 Гб отдельным файлом, который предоставляется с указанием СМИ, номинации премии, названием работы, Ф.И.О. автора и хронометража – для номинации, указанной в подпункте 1.3.8 пункта 1.3 По</w:t>
            </w:r>
            <w:r>
              <w:t xml:space="preserve">ложения.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1.6. Газеты, журналы, с соответствующими публикациями, </w:t>
            </w:r>
            <w:r>
              <w:t xml:space="preserve">статьи</w:t>
            </w:r>
            <w:r>
              <w:t xml:space="preserve"> размещенные в интернет-изданиях, с указанием электронного адреса по номинации, указанной в подпункте 1.3.9 пункта 1.3 Положения.</w:t>
            </w:r>
            <w:r/>
            <w:r/>
          </w:p>
          <w:p>
            <w:pPr>
              <w:contextualSpacing/>
              <w:ind w:firstLine="794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2. Ограничения участия в Конкурсе:</w:t>
            </w:r>
            <w:r/>
            <w:r/>
          </w:p>
          <w:p>
            <w:pPr>
              <w:contextualSpacing/>
              <w:ind w:firstLine="794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2.1. Право на участие</w:t>
            </w:r>
            <w:r>
              <w:t xml:space="preserve"> в Конкурсе имеют Кандидаты, отвечающие по состоянию на 1-е число месяца подачи документов следующим требованиям:</w:t>
            </w:r>
            <w:r/>
            <w:r/>
          </w:p>
          <w:p>
            <w:pPr>
              <w:contextualSpacing/>
              <w:ind w:firstLine="794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2.2. Не иметь неисполненной обязанности по уплате налогов, сборов, страховых взносов, пеней, штрафов, процентов, подлежащих уплате в соответст</w:t>
            </w:r>
            <w:r>
              <w:t xml:space="preserve">вии с законодательством Российской Федерации о налогах и сборах.</w:t>
            </w:r>
            <w:r/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2.3 Кандидаты - юридические лица не должны находиться в процессе реорганизации, ликвидации, в отношении них не введена процедура банкротства, деятельность не приостановлена в порядке, предусм</w:t>
            </w:r>
            <w:r>
              <w:t xml:space="preserve">отренном законодательством Российской Федерации, а Кандидаты - индивидуальные предприниматели не должны прекратить деятельность в качестве индивидуального предпринимателя.</w:t>
            </w:r>
            <w:r/>
            <w:r/>
          </w:p>
          <w:p>
            <w:pPr>
              <w:contextualSpacing/>
              <w:ind w:firstLine="70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2.4. </w:t>
            </w:r>
            <w:r>
              <w:t xml:space="preserve">Не являться иностранным юридическим лицом, а также российским юридическим лицом</w:t>
            </w:r>
            <w:r>
              <w:t xml:space="preserve">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</w:t>
            </w:r>
            <w:r>
              <w:t xml:space="preserve">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      </w:r>
            <w:r>
              <w:t xml:space="preserve"> юридических лиц, в совокупности превышает 50 процентов.</w:t>
            </w:r>
            <w:r/>
            <w:r/>
          </w:p>
          <w:p>
            <w:pPr>
              <w:contextualSpacing/>
              <w:ind w:firstLine="737"/>
              <w:jc w:val="both"/>
              <w:spacing w:before="0" w:after="0" w:line="240" w:lineRule="auto"/>
              <w:widowControl w:val="off"/>
              <w:tabs>
                <w:tab w:val="left" w:pos="795" w:leader="none"/>
              </w:tabs>
              <w:suppressLineNumbers w:val="0"/>
            </w:pPr>
            <w:r>
              <w:t xml:space="preserve">3. Департ</w:t>
            </w:r>
            <w:r>
              <w:t xml:space="preserve">амент в порядке межведомственного информационного взаимодействия, установленного законодательством Российской Федерации, в течение 5 рабочих дней со дня регистрации документов, указанных в пункте 2.2 Положения, запрашивает:</w:t>
            </w:r>
            <w:r/>
            <w:r/>
          </w:p>
          <w:p>
            <w:pPr>
              <w:contextualSpacing/>
              <w:ind w:firstLine="737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3.1 Сведения об отсутствии неисп</w:t>
            </w:r>
            <w:r>
              <w:t xml:space="preserve">олненной обязанности по уплате налогов, сборов, страховых взносов, пеней, штрафов, процентов, подлежащих уплате согласно законодательству Российской Федерации о налогах и сборах, из Федеральной налоговой службы в отношении Кандидатов, за исключением физиче</w:t>
            </w:r>
            <w:r>
              <w:t xml:space="preserve">ских лиц;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3.2 Выписку из Единого государственного реестра юридических лиц или Единого государственного реестра индивидуальных предпринимателей из Федеральной налоговой службы;</w:t>
            </w:r>
            <w:r/>
            <w:r/>
          </w:p>
          <w:p>
            <w:pPr>
              <w:contextualSpacing/>
              <w:ind w:firstLine="799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3.3 Сведения из Единого федерального реестра туроператоров по номинации, указанн</w:t>
            </w:r>
            <w:r>
              <w:t xml:space="preserve">ой в подпункте 1.3.1 пункта 1.3 Положения.</w:t>
            </w:r>
            <w:r/>
            <w:r/>
          </w:p>
          <w:p>
            <w:pPr>
              <w:contextualSpacing/>
              <w:ind w:firstLine="737"/>
              <w:jc w:val="both"/>
              <w:spacing w:before="0" w:after="0" w:line="240" w:lineRule="auto"/>
              <w:widowControl w:val="off"/>
              <w:suppressLineNumbers w:val="0"/>
            </w:pPr>
            <w:r>
              <w:t xml:space="preserve">4. </w:t>
            </w:r>
            <w:r>
              <w:rPr>
                <w:lang w:eastAsia="ru-RU"/>
              </w:rPr>
              <w:t xml:space="preserve">Департамент регистрирует поступившие документы в день их поступления.</w:t>
            </w:r>
            <w:r/>
            <w:r/>
          </w:p>
          <w:p>
            <w:pPr>
              <w:contextualSpacing/>
              <w:ind w:firstLine="737"/>
              <w:jc w:val="both"/>
              <w:spacing w:before="0" w:after="0" w:line="240" w:lineRule="auto"/>
              <w:widowControl w:val="off"/>
              <w:suppressLineNumbers w:val="0"/>
            </w:pPr>
            <w:r>
              <w:rPr>
                <w:lang w:eastAsia="ru-RU"/>
              </w:rPr>
              <w:t xml:space="preserve">5. </w:t>
            </w:r>
            <w:r>
              <w:t xml:space="preserve">Департамент </w:t>
            </w:r>
            <w:r>
              <w:t xml:space="preserve">в течени</w:t>
            </w:r>
            <w:r>
              <w:t xml:space="preserve">и</w:t>
            </w:r>
            <w:r>
              <w:t xml:space="preserve"> 10 рабочих дней с даты окончания приема документов, </w:t>
            </w:r>
            <w:r>
              <w:t xml:space="preserve">указанных в пункте 2.2 Положения, осуществляет их проверку и </w:t>
            </w:r>
            <w:r>
              <w:t xml:space="preserve">соответствие Кандидата требованиям, определенным в подпунктах 1.4.1 — 1.4.9 пункта 1.4, пункте 1.6 Положения, и передает их секретарю экспертного совета по определению Лауреатов Конкурса (далее — экспертный совет).</w:t>
            </w:r>
            <w:r/>
            <w:r/>
          </w:p>
          <w:p>
            <w:pPr>
              <w:contextualSpacing/>
              <w:ind w:firstLine="794"/>
              <w:jc w:val="both"/>
              <w:spacing w:before="0" w:after="0" w:line="240" w:lineRule="auto"/>
              <w:widowControl w:val="off"/>
              <w:suppressLineNumbers w:val="0"/>
            </w:pPr>
            <w:r>
              <w:rPr>
                <w:lang w:eastAsia="ru-RU"/>
              </w:rPr>
              <w:t xml:space="preserve">В случае несоответствия документов перечн</w:t>
            </w:r>
            <w:r>
              <w:rPr>
                <w:lang w:eastAsia="ru-RU"/>
              </w:rPr>
              <w:t xml:space="preserve">ю, установленному </w:t>
            </w:r>
            <w:r>
              <w:rPr>
                <w:color w:val="0000ff"/>
                <w:lang w:eastAsia="ru-RU"/>
              </w:rPr>
              <w:t xml:space="preserve">пунктом 2.2</w:t>
            </w:r>
            <w:r>
              <w:rPr>
                <w:lang w:eastAsia="ru-RU"/>
              </w:rPr>
              <w:t xml:space="preserve"> Положения, несоответствия Кандидата требованиям, определенным </w:t>
            </w:r>
            <w:r>
              <w:rPr>
                <w:color w:val="0000ff"/>
                <w:lang w:eastAsia="ru-RU"/>
              </w:rPr>
              <w:t xml:space="preserve">подпунктами 1.4.1</w:t>
            </w:r>
            <w:r>
              <w:rPr>
                <w:lang w:eastAsia="ru-RU"/>
              </w:rPr>
              <w:t xml:space="preserve"> - </w:t>
            </w:r>
            <w:r>
              <w:rPr>
                <w:color w:val="0000ff"/>
                <w:lang w:eastAsia="ru-RU"/>
              </w:rPr>
              <w:t xml:space="preserve">1.4.9 пункта 1.4</w:t>
            </w:r>
            <w:r>
              <w:rPr>
                <w:lang w:eastAsia="ru-RU"/>
              </w:rPr>
              <w:t xml:space="preserve"> Положения, Департамент в течение 10 рабочих дней </w:t>
            </w:r>
            <w:r>
              <w:rPr>
                <w:lang w:eastAsia="ru-RU"/>
              </w:rPr>
              <w:t xml:space="preserve">с даты окончания</w:t>
            </w:r>
            <w:r>
              <w:rPr>
                <w:lang w:eastAsia="ru-RU"/>
              </w:rPr>
              <w:t xml:space="preserve"> проверки направляет Кандидату соответствующее уведомление об отказе в участии.</w:t>
            </w:r>
            <w:r/>
            <w:r/>
          </w:p>
          <w:p>
            <w:pPr>
              <w:contextualSpacing/>
              <w:ind w:firstLine="794"/>
              <w:jc w:val="both"/>
              <w:spacing w:before="0" w:after="0" w:line="240" w:lineRule="auto"/>
              <w:widowControl w:val="off"/>
              <w:suppressLineNumbers w:val="0"/>
            </w:pPr>
            <w:r>
              <w:rPr>
                <w:lang w:eastAsia="ru-RU"/>
              </w:rPr>
              <w:t xml:space="preserve">Кандидат в срок не более 10 рабочих дней </w:t>
            </w:r>
            <w:r>
              <w:rPr>
                <w:lang w:eastAsia="ru-RU"/>
              </w:rPr>
              <w:t xml:space="preserve">с даты получения</w:t>
            </w:r>
            <w:r>
              <w:rPr>
                <w:lang w:eastAsia="ru-RU"/>
              </w:rPr>
              <w:t xml:space="preserve"> уведомления Департамента вправе устранить замечания </w:t>
            </w:r>
            <w:r>
              <w:rPr>
                <w:lang w:eastAsia="ru-RU"/>
              </w:rPr>
              <w:t xml:space="preserve">к документам и представить в Департамент. Регистрация </w:t>
            </w:r>
            <w:r>
              <w:rPr>
                <w:lang w:eastAsia="ru-RU"/>
              </w:rPr>
              <w:t xml:space="preserve">исправленных</w:t>
            </w:r>
            <w:r>
              <w:rPr>
                <w:lang w:eastAsia="ru-RU"/>
              </w:rPr>
              <w:t xml:space="preserve"> документов осуществляется в соответствии с </w:t>
            </w:r>
            <w:r>
              <w:rPr>
                <w:color w:val="0000ff"/>
                <w:lang w:eastAsia="ru-RU"/>
              </w:rPr>
              <w:t xml:space="preserve">пунктом 3.1</w:t>
            </w:r>
            <w:r>
              <w:rPr>
                <w:lang w:eastAsia="ru-RU"/>
              </w:rPr>
              <w:t xml:space="preserve"> Положения.</w:t>
            </w:r>
            <w:r/>
            <w:r/>
          </w:p>
          <w:p>
            <w:pPr>
              <w:contextualSpacing/>
              <w:jc w:val="both"/>
              <w:spacing w:before="0" w:after="0" w:line="240" w:lineRule="auto"/>
              <w:widowControl w:val="off"/>
              <w:suppressLineNumbers w:val="0"/>
            </w:pPr>
            <w:r/>
            <w:r/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719" w:right="850" w:bottom="719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Liberation Sans;Arial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character" w:styleId="666">
    <w:name w:val="Caption Char"/>
    <w:basedOn w:val="907"/>
    <w:link w:val="664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ascii="Times New Roman" w:hAnsi="Times New Roman" w:eastAsia="Times New Roman" w:cs="Times New Roman"/>
      <w:sz w:val="24"/>
      <w:lang w:bidi="ar-SA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WW8Num1z0"/>
    <w:qFormat/>
    <w:rPr>
      <w:b/>
    </w:rPr>
  </w:style>
  <w:style w:type="character" w:styleId="816" w:customStyle="1">
    <w:name w:val="WW8Num2z0"/>
    <w:qFormat/>
  </w:style>
  <w:style w:type="character" w:styleId="817" w:customStyle="1">
    <w:name w:val="WW8Num2z1"/>
    <w:qFormat/>
  </w:style>
  <w:style w:type="character" w:styleId="818" w:customStyle="1">
    <w:name w:val="WW8Num2z2"/>
    <w:qFormat/>
  </w:style>
  <w:style w:type="character" w:styleId="819" w:customStyle="1">
    <w:name w:val="WW8Num2z3"/>
    <w:qFormat/>
  </w:style>
  <w:style w:type="character" w:styleId="820" w:customStyle="1">
    <w:name w:val="WW8Num2z4"/>
    <w:qFormat/>
  </w:style>
  <w:style w:type="character" w:styleId="821" w:customStyle="1">
    <w:name w:val="WW8Num2z5"/>
    <w:qFormat/>
  </w:style>
  <w:style w:type="character" w:styleId="822" w:customStyle="1">
    <w:name w:val="WW8Num2z6"/>
    <w:qFormat/>
  </w:style>
  <w:style w:type="character" w:styleId="823" w:customStyle="1">
    <w:name w:val="WW8Num2z7"/>
    <w:qFormat/>
  </w:style>
  <w:style w:type="character" w:styleId="824" w:customStyle="1">
    <w:name w:val="WW8Num2z8"/>
    <w:qFormat/>
  </w:style>
  <w:style w:type="character" w:styleId="825" w:customStyle="1">
    <w:name w:val="WW8Num3z0"/>
    <w:qFormat/>
  </w:style>
  <w:style w:type="character" w:styleId="826" w:customStyle="1">
    <w:name w:val="WW8Num3z1"/>
    <w:qFormat/>
  </w:style>
  <w:style w:type="character" w:styleId="827" w:customStyle="1">
    <w:name w:val="WW8Num3z2"/>
    <w:qFormat/>
  </w:style>
  <w:style w:type="character" w:styleId="828" w:customStyle="1">
    <w:name w:val="WW8Num3z3"/>
    <w:qFormat/>
  </w:style>
  <w:style w:type="character" w:styleId="829" w:customStyle="1">
    <w:name w:val="WW8Num3z4"/>
    <w:qFormat/>
  </w:style>
  <w:style w:type="character" w:styleId="830" w:customStyle="1">
    <w:name w:val="WW8Num3z5"/>
    <w:qFormat/>
  </w:style>
  <w:style w:type="character" w:styleId="831" w:customStyle="1">
    <w:name w:val="WW8Num3z6"/>
    <w:qFormat/>
  </w:style>
  <w:style w:type="character" w:styleId="832" w:customStyle="1">
    <w:name w:val="WW8Num3z7"/>
    <w:qFormat/>
  </w:style>
  <w:style w:type="character" w:styleId="833" w:customStyle="1">
    <w:name w:val="WW8Num3z8"/>
    <w:qFormat/>
  </w:style>
  <w:style w:type="character" w:styleId="834" w:customStyle="1">
    <w:name w:val="WW8Num4z0"/>
    <w:qFormat/>
  </w:style>
  <w:style w:type="character" w:styleId="835" w:customStyle="1">
    <w:name w:val="WW8Num4z1"/>
    <w:qFormat/>
  </w:style>
  <w:style w:type="character" w:styleId="836" w:customStyle="1">
    <w:name w:val="WW8Num4z2"/>
    <w:qFormat/>
  </w:style>
  <w:style w:type="character" w:styleId="837" w:customStyle="1">
    <w:name w:val="WW8Num4z3"/>
    <w:qFormat/>
  </w:style>
  <w:style w:type="character" w:styleId="838" w:customStyle="1">
    <w:name w:val="WW8Num4z4"/>
    <w:qFormat/>
  </w:style>
  <w:style w:type="character" w:styleId="839" w:customStyle="1">
    <w:name w:val="WW8Num4z5"/>
    <w:qFormat/>
  </w:style>
  <w:style w:type="character" w:styleId="840" w:customStyle="1">
    <w:name w:val="WW8Num4z6"/>
    <w:qFormat/>
  </w:style>
  <w:style w:type="character" w:styleId="841" w:customStyle="1">
    <w:name w:val="WW8Num4z7"/>
    <w:qFormat/>
  </w:style>
  <w:style w:type="character" w:styleId="842" w:customStyle="1">
    <w:name w:val="WW8Num4z8"/>
    <w:qFormat/>
  </w:style>
  <w:style w:type="character" w:styleId="843" w:customStyle="1">
    <w:name w:val="WW8Num5z0"/>
    <w:qFormat/>
  </w:style>
  <w:style w:type="character" w:styleId="844" w:customStyle="1">
    <w:name w:val="WW8Num5z1"/>
    <w:qFormat/>
  </w:style>
  <w:style w:type="character" w:styleId="845" w:customStyle="1">
    <w:name w:val="WW8Num5z2"/>
    <w:qFormat/>
  </w:style>
  <w:style w:type="character" w:styleId="846" w:customStyle="1">
    <w:name w:val="WW8Num5z3"/>
    <w:qFormat/>
  </w:style>
  <w:style w:type="character" w:styleId="847" w:customStyle="1">
    <w:name w:val="WW8Num5z4"/>
    <w:qFormat/>
  </w:style>
  <w:style w:type="character" w:styleId="848" w:customStyle="1">
    <w:name w:val="WW8Num5z5"/>
    <w:qFormat/>
  </w:style>
  <w:style w:type="character" w:styleId="849" w:customStyle="1">
    <w:name w:val="WW8Num5z6"/>
    <w:qFormat/>
  </w:style>
  <w:style w:type="character" w:styleId="850" w:customStyle="1">
    <w:name w:val="WW8Num5z7"/>
    <w:qFormat/>
  </w:style>
  <w:style w:type="character" w:styleId="851" w:customStyle="1">
    <w:name w:val="WW8Num5z8"/>
    <w:qFormat/>
  </w:style>
  <w:style w:type="character" w:styleId="852" w:customStyle="1">
    <w:name w:val="WW8Num6z0"/>
    <w:qFormat/>
  </w:style>
  <w:style w:type="character" w:styleId="853" w:customStyle="1">
    <w:name w:val="WW8Num6z1"/>
    <w:qFormat/>
  </w:style>
  <w:style w:type="character" w:styleId="854" w:customStyle="1">
    <w:name w:val="WW8Num6z2"/>
    <w:qFormat/>
  </w:style>
  <w:style w:type="character" w:styleId="855" w:customStyle="1">
    <w:name w:val="WW8Num6z3"/>
    <w:qFormat/>
  </w:style>
  <w:style w:type="character" w:styleId="856" w:customStyle="1">
    <w:name w:val="WW8Num6z4"/>
    <w:qFormat/>
  </w:style>
  <w:style w:type="character" w:styleId="857" w:customStyle="1">
    <w:name w:val="WW8Num6z5"/>
    <w:qFormat/>
  </w:style>
  <w:style w:type="character" w:styleId="858" w:customStyle="1">
    <w:name w:val="WW8Num6z6"/>
    <w:qFormat/>
  </w:style>
  <w:style w:type="character" w:styleId="859" w:customStyle="1">
    <w:name w:val="WW8Num6z7"/>
    <w:qFormat/>
  </w:style>
  <w:style w:type="character" w:styleId="860" w:customStyle="1">
    <w:name w:val="WW8Num6z8"/>
    <w:qFormat/>
  </w:style>
  <w:style w:type="character" w:styleId="861" w:customStyle="1">
    <w:name w:val="WW8Num7z0"/>
    <w:qFormat/>
  </w:style>
  <w:style w:type="character" w:styleId="862" w:customStyle="1">
    <w:name w:val="WW8Num7z1"/>
    <w:qFormat/>
  </w:style>
  <w:style w:type="character" w:styleId="863" w:customStyle="1">
    <w:name w:val="WW8Num7z2"/>
    <w:qFormat/>
  </w:style>
  <w:style w:type="character" w:styleId="864" w:customStyle="1">
    <w:name w:val="WW8Num7z3"/>
    <w:qFormat/>
  </w:style>
  <w:style w:type="character" w:styleId="865" w:customStyle="1">
    <w:name w:val="WW8Num7z4"/>
    <w:qFormat/>
  </w:style>
  <w:style w:type="character" w:styleId="866" w:customStyle="1">
    <w:name w:val="WW8Num7z5"/>
    <w:qFormat/>
  </w:style>
  <w:style w:type="character" w:styleId="867" w:customStyle="1">
    <w:name w:val="WW8Num7z6"/>
    <w:qFormat/>
  </w:style>
  <w:style w:type="character" w:styleId="868" w:customStyle="1">
    <w:name w:val="WW8Num7z7"/>
    <w:qFormat/>
  </w:style>
  <w:style w:type="character" w:styleId="869" w:customStyle="1">
    <w:name w:val="WW8Num7z8"/>
    <w:qFormat/>
  </w:style>
  <w:style w:type="character" w:styleId="870" w:customStyle="1">
    <w:name w:val="WW8Num8z0"/>
    <w:qFormat/>
  </w:style>
  <w:style w:type="character" w:styleId="871" w:customStyle="1">
    <w:name w:val="WW8Num8z1"/>
    <w:qFormat/>
  </w:style>
  <w:style w:type="character" w:styleId="872" w:customStyle="1">
    <w:name w:val="WW8Num8z2"/>
    <w:qFormat/>
  </w:style>
  <w:style w:type="character" w:styleId="873" w:customStyle="1">
    <w:name w:val="WW8Num8z3"/>
    <w:qFormat/>
  </w:style>
  <w:style w:type="character" w:styleId="874" w:customStyle="1">
    <w:name w:val="WW8Num8z4"/>
    <w:qFormat/>
  </w:style>
  <w:style w:type="character" w:styleId="875" w:customStyle="1">
    <w:name w:val="WW8Num8z5"/>
    <w:qFormat/>
  </w:style>
  <w:style w:type="character" w:styleId="876" w:customStyle="1">
    <w:name w:val="WW8Num8z6"/>
    <w:qFormat/>
  </w:style>
  <w:style w:type="character" w:styleId="877" w:customStyle="1">
    <w:name w:val="WW8Num8z7"/>
    <w:qFormat/>
  </w:style>
  <w:style w:type="character" w:styleId="878" w:customStyle="1">
    <w:name w:val="WW8Num8z8"/>
    <w:qFormat/>
  </w:style>
  <w:style w:type="character" w:styleId="879" w:customStyle="1">
    <w:name w:val="WW8Num9z0"/>
    <w:qFormat/>
  </w:style>
  <w:style w:type="character" w:styleId="880" w:customStyle="1">
    <w:name w:val="WW8Num9z1"/>
    <w:qFormat/>
  </w:style>
  <w:style w:type="character" w:styleId="881" w:customStyle="1">
    <w:name w:val="WW8Num9z2"/>
    <w:qFormat/>
  </w:style>
  <w:style w:type="character" w:styleId="882" w:customStyle="1">
    <w:name w:val="WW8Num9z3"/>
    <w:qFormat/>
  </w:style>
  <w:style w:type="character" w:styleId="883" w:customStyle="1">
    <w:name w:val="WW8Num9z4"/>
    <w:qFormat/>
  </w:style>
  <w:style w:type="character" w:styleId="884" w:customStyle="1">
    <w:name w:val="WW8Num9z5"/>
    <w:qFormat/>
  </w:style>
  <w:style w:type="character" w:styleId="885" w:customStyle="1">
    <w:name w:val="WW8Num9z6"/>
    <w:qFormat/>
  </w:style>
  <w:style w:type="character" w:styleId="886" w:customStyle="1">
    <w:name w:val="WW8Num9z7"/>
    <w:qFormat/>
  </w:style>
  <w:style w:type="character" w:styleId="887" w:customStyle="1">
    <w:name w:val="WW8Num9z8"/>
    <w:qFormat/>
  </w:style>
  <w:style w:type="character" w:styleId="888" w:customStyle="1">
    <w:name w:val="WW8Num10z0"/>
    <w:qFormat/>
  </w:style>
  <w:style w:type="character" w:styleId="889" w:customStyle="1">
    <w:name w:val="WW8Num10z1"/>
    <w:qFormat/>
  </w:style>
  <w:style w:type="character" w:styleId="890" w:customStyle="1">
    <w:name w:val="WW8Num10z2"/>
    <w:qFormat/>
  </w:style>
  <w:style w:type="character" w:styleId="891" w:customStyle="1">
    <w:name w:val="WW8Num10z3"/>
    <w:qFormat/>
  </w:style>
  <w:style w:type="character" w:styleId="892" w:customStyle="1">
    <w:name w:val="WW8Num10z4"/>
    <w:qFormat/>
  </w:style>
  <w:style w:type="character" w:styleId="893" w:customStyle="1">
    <w:name w:val="WW8Num10z5"/>
    <w:qFormat/>
  </w:style>
  <w:style w:type="character" w:styleId="894" w:customStyle="1">
    <w:name w:val="WW8Num10z6"/>
    <w:qFormat/>
  </w:style>
  <w:style w:type="character" w:styleId="895" w:customStyle="1">
    <w:name w:val="WW8Num10z7"/>
    <w:qFormat/>
  </w:style>
  <w:style w:type="character" w:styleId="896" w:customStyle="1">
    <w:name w:val="WW8Num10z8"/>
    <w:qFormat/>
  </w:style>
  <w:style w:type="character" w:styleId="897" w:customStyle="1">
    <w:name w:val="Интернет-ссылка"/>
    <w:rPr>
      <w:color w:val="0000ff"/>
      <w:u w:val="single"/>
    </w:rPr>
  </w:style>
  <w:style w:type="character" w:styleId="898" w:customStyle="1">
    <w:name w:val="span_header_lot_21"/>
    <w:qFormat/>
    <w:rPr>
      <w:b/>
      <w:bCs/>
      <w:sz w:val="20"/>
      <w:szCs w:val="20"/>
    </w:rPr>
  </w:style>
  <w:style w:type="character" w:styleId="899" w:customStyle="1">
    <w:name w:val="label_text_lot_21"/>
    <w:qFormat/>
    <w:rPr>
      <w:color w:val="0000ff"/>
      <w:sz w:val="20"/>
      <w:szCs w:val="20"/>
    </w:rPr>
  </w:style>
  <w:style w:type="character" w:styleId="900" w:customStyle="1">
    <w:name w:val="label_body_text_11"/>
    <w:qFormat/>
    <w:rPr>
      <w:color w:val="0000ff"/>
      <w:sz w:val="20"/>
      <w:szCs w:val="20"/>
    </w:rPr>
  </w:style>
  <w:style w:type="character" w:styleId="901" w:customStyle="1">
    <w:name w:val="span_body_text_21"/>
    <w:qFormat/>
    <w:rPr>
      <w:sz w:val="20"/>
      <w:szCs w:val="20"/>
    </w:rPr>
  </w:style>
  <w:style w:type="character" w:styleId="902" w:customStyle="1">
    <w:name w:val="Основной текст Знак"/>
    <w:qFormat/>
    <w:rPr>
      <w:sz w:val="24"/>
      <w:szCs w:val="24"/>
    </w:rPr>
  </w:style>
  <w:style w:type="character" w:styleId="903" w:customStyle="1">
    <w:name w:val="Основной текст 2 Знак"/>
    <w:qFormat/>
    <w:rPr>
      <w:sz w:val="24"/>
      <w:szCs w:val="24"/>
    </w:rPr>
  </w:style>
  <w:style w:type="paragraph" w:styleId="904" w:customStyle="1">
    <w:name w:val="Заголовок"/>
    <w:basedOn w:val="811"/>
    <w:next w:val="905"/>
    <w:qFormat/>
    <w:pPr>
      <w:keepNext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905">
    <w:name w:val="Body Text"/>
    <w:basedOn w:val="811"/>
    <w:pPr>
      <w:spacing w:after="120"/>
    </w:pPr>
  </w:style>
  <w:style w:type="paragraph" w:styleId="906">
    <w:name w:val="List"/>
    <w:basedOn w:val="905"/>
    <w:rPr>
      <w:rFonts w:cs="Arial Unicode MS"/>
    </w:rPr>
  </w:style>
  <w:style w:type="paragraph" w:styleId="907">
    <w:name w:val="Caption"/>
    <w:basedOn w:val="811"/>
    <w:qFormat/>
    <w:pPr>
      <w:spacing w:before="120" w:after="120"/>
      <w:suppressLineNumbers/>
    </w:pPr>
    <w:rPr>
      <w:rFonts w:cs="Arial Unicode MS"/>
      <w:i/>
      <w:iCs/>
    </w:rPr>
  </w:style>
  <w:style w:type="paragraph" w:styleId="908">
    <w:name w:val="index heading"/>
    <w:basedOn w:val="811"/>
    <w:qFormat/>
    <w:pPr>
      <w:suppressLineNumbers/>
    </w:pPr>
    <w:rPr>
      <w:rFonts w:cs="Arial Unicode MS"/>
    </w:rPr>
  </w:style>
  <w:style w:type="paragraph" w:styleId="909">
    <w:name w:val="Normal (Web)"/>
    <w:basedOn w:val="811"/>
    <w:qFormat/>
    <w:pPr>
      <w:spacing w:before="280" w:after="280"/>
    </w:pPr>
  </w:style>
  <w:style w:type="paragraph" w:styleId="910">
    <w:name w:val="Body Text Indent"/>
    <w:basedOn w:val="811"/>
    <w:pPr>
      <w:ind w:left="283"/>
      <w:spacing w:after="120"/>
    </w:pPr>
  </w:style>
  <w:style w:type="paragraph" w:styleId="911" w:customStyle="1">
    <w:name w:val="Знак"/>
    <w:basedOn w:val="81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2" w:customStyle="1">
    <w:name w:val="Знак Знак Знак Знак"/>
    <w:basedOn w:val="81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3">
    <w:name w:val="Balloon Text"/>
    <w:basedOn w:val="811"/>
    <w:qFormat/>
    <w:rPr>
      <w:rFonts w:ascii="Tahoma" w:hAnsi="Tahoma" w:cs="Tahoma"/>
      <w:sz w:val="16"/>
      <w:szCs w:val="16"/>
    </w:rPr>
  </w:style>
  <w:style w:type="paragraph" w:styleId="914" w:customStyle="1">
    <w:name w:val="Знак"/>
    <w:basedOn w:val="81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5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Cs w:val="20"/>
      <w:lang w:bidi="ar-SA"/>
    </w:rPr>
  </w:style>
  <w:style w:type="paragraph" w:styleId="916">
    <w:name w:val="Body Text 2"/>
    <w:basedOn w:val="811"/>
    <w:qFormat/>
    <w:pPr>
      <w:spacing w:after="120" w:line="480" w:lineRule="auto"/>
    </w:pPr>
  </w:style>
  <w:style w:type="paragraph" w:styleId="917" w:customStyle="1">
    <w:name w:val="Термин"/>
    <w:basedOn w:val="811"/>
    <w:next w:val="918"/>
    <w:qFormat/>
    <w:rPr>
      <w:szCs w:val="20"/>
    </w:rPr>
  </w:style>
  <w:style w:type="paragraph" w:styleId="918" w:customStyle="1">
    <w:name w:val="Список определений"/>
    <w:basedOn w:val="811"/>
    <w:next w:val="917"/>
    <w:qFormat/>
    <w:pPr>
      <w:ind w:left="360"/>
    </w:pPr>
    <w:rPr>
      <w:szCs w:val="20"/>
    </w:rPr>
  </w:style>
  <w:style w:type="paragraph" w:styleId="919" w:customStyle="1">
    <w:name w:val="Обычный1"/>
    <w:qFormat/>
    <w:rPr>
      <w:rFonts w:ascii="Arial" w:hAnsi="Arial" w:eastAsia="Times New Roman" w:cs="Arial"/>
      <w:sz w:val="18"/>
      <w:szCs w:val="20"/>
      <w:lang w:bidi="ar-SA"/>
    </w:rPr>
  </w:style>
  <w:style w:type="paragraph" w:styleId="920">
    <w:name w:val="List Paragraph"/>
    <w:basedOn w:val="811"/>
    <w:qFormat/>
    <w:pPr>
      <w:contextualSpacing/>
      <w:ind w:left="720"/>
    </w:pPr>
    <w:rPr>
      <w:sz w:val="20"/>
      <w:szCs w:val="20"/>
    </w:rPr>
  </w:style>
  <w:style w:type="paragraph" w:styleId="921" w:customStyle="1">
    <w:name w:val="ConsNormal"/>
    <w:qFormat/>
    <w:pPr>
      <w:ind w:right="19772" w:firstLine="720"/>
    </w:pPr>
    <w:rPr>
      <w:rFonts w:ascii="Arial" w:hAnsi="Arial" w:eastAsia="Times New Roman" w:cs="Arial"/>
      <w:szCs w:val="20"/>
      <w:lang w:bidi="ar-SA"/>
    </w:rPr>
  </w:style>
  <w:style w:type="paragraph" w:styleId="922" w:customStyle="1">
    <w:name w:val="ConsPlusNonformat"/>
    <w:qFormat/>
    <w:rPr>
      <w:rFonts w:ascii="Courier New" w:hAnsi="Courier New" w:eastAsia="Times New Roman" w:cs="Courier New"/>
      <w:szCs w:val="20"/>
      <w:lang w:bidi="ar-SA"/>
    </w:rPr>
  </w:style>
  <w:style w:type="paragraph" w:styleId="923" w:customStyle="1">
    <w:name w:val="ConsPlusTitle"/>
    <w:qFormat/>
    <w:pPr>
      <w:widowControl w:val="off"/>
    </w:pPr>
    <w:rPr>
      <w:rFonts w:ascii="Arial" w:hAnsi="Arial" w:eastAsia="Times New Roman" w:cs="Arial"/>
      <w:b/>
      <w:bCs/>
      <w:szCs w:val="20"/>
      <w:lang w:bidi="ar-SA"/>
    </w:rPr>
  </w:style>
  <w:style w:type="paragraph" w:styleId="924">
    <w:name w:val="No Spacing"/>
    <w:qFormat/>
    <w:rPr>
      <w:rFonts w:ascii="Calibri" w:hAnsi="Calibri" w:eastAsia="Times New Roman" w:cs="Calibri"/>
      <w:sz w:val="22"/>
      <w:szCs w:val="22"/>
      <w:lang w:bidi="ar-SA"/>
    </w:rPr>
  </w:style>
  <w:style w:type="paragraph" w:styleId="925" w:customStyle="1">
    <w:name w:val="Содержимое таблицы"/>
    <w:basedOn w:val="811"/>
    <w:qFormat/>
    <w:pPr>
      <w:suppressLineNumbers/>
    </w:pPr>
  </w:style>
  <w:style w:type="paragraph" w:styleId="926" w:customStyle="1">
    <w:name w:val="Заголовок таблицы"/>
    <w:basedOn w:val="925"/>
    <w:qFormat/>
    <w:pPr>
      <w:jc w:val="center"/>
    </w:pPr>
    <w:rPr>
      <w:b/>
      <w:bCs/>
    </w:rPr>
  </w:style>
  <w:style w:type="paragraph" w:styleId="927">
    <w:name w:val="Document Map"/>
    <w:qFormat/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VolohovaUV</dc:creator>
  <dc:language>ru-RU</dc:language>
  <cp:revision>6</cp:revision>
  <dcterms:created xsi:type="dcterms:W3CDTF">2022-08-22T05:48:00Z</dcterms:created>
  <dcterms:modified xsi:type="dcterms:W3CDTF">2024-09-20T07:01:48Z</dcterms:modified>
</cp:coreProperties>
</file>