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40" w:before="0" w:after="0"/>
        <w:ind w:left="0" w:right="0" w:firstLine="567"/>
        <w:jc w:val="right"/>
        <w:rPr/>
      </w:pPr>
      <w:r>
        <w:rPr>
          <w:b/>
          <w:sz w:val="20"/>
        </w:rPr>
        <w:t>Приложение 2 к протоколу</w:t>
      </w:r>
    </w:p>
    <w:p>
      <w:pPr>
        <w:pStyle w:val="Normal"/>
        <w:widowControl/>
        <w:suppressAutoHyphens w:val="true"/>
        <w:bidi w:val="0"/>
        <w:spacing w:lineRule="auto" w:line="240" w:before="0" w:after="0"/>
        <w:ind w:left="0" w:right="0" w:firstLine="567"/>
        <w:jc w:val="right"/>
        <w:rPr/>
      </w:pPr>
      <w:r>
        <w:rPr>
          <w:b/>
          <w:sz w:val="20"/>
        </w:rPr>
        <w:t>заседания Совета по вопросам развития инвестиционной</w:t>
      </w:r>
    </w:p>
    <w:p>
      <w:pPr>
        <w:pStyle w:val="Normal"/>
        <w:widowControl/>
        <w:suppressAutoHyphens w:val="true"/>
        <w:bidi w:val="0"/>
        <w:spacing w:lineRule="auto" w:line="240" w:before="0" w:after="0"/>
        <w:ind w:left="0" w:right="0" w:firstLine="567"/>
        <w:jc w:val="right"/>
        <w:rPr/>
      </w:pPr>
      <w:r>
        <w:rPr>
          <w:b/>
          <w:sz w:val="20"/>
        </w:rPr>
        <w:t>деятельности в городе Нижневартовске от 21.07.2021 №25</w:t>
      </w:r>
    </w:p>
    <w:p>
      <w:pPr>
        <w:pStyle w:val="Normal"/>
        <w:spacing w:lineRule="auto" w:line="240" w:before="0" w:after="0"/>
        <w:ind w:right="-170" w:firstLine="567"/>
        <w:jc w:val="right"/>
        <w:rPr>
          <w:rFonts w:ascii="Times New Roman" w:hAnsi="Times New Roman"/>
          <w:i w:val="false"/>
          <w:i w:val="false"/>
        </w:rPr>
      </w:pPr>
      <w:r>
        <w:rPr>
          <w:i w:val="false"/>
        </w:rPr>
      </w:r>
    </w:p>
    <w:p>
      <w:pPr>
        <w:pStyle w:val="2"/>
        <w:spacing w:lineRule="auto" w:line="240" w:before="0" w:after="0"/>
        <w:ind w:firstLine="709"/>
        <w:jc w:val="both"/>
        <w:rPr>
          <w:rFonts w:ascii="Times New Roman" w:hAnsi="Times New Roman"/>
          <w:b w:val="false"/>
          <w:b w:val="false"/>
          <w:i w:val="false"/>
          <w:i w:val="false"/>
        </w:rPr>
      </w:pPr>
      <w:r>
        <w:rPr>
          <w:rFonts w:ascii="Times New Roman" w:hAnsi="Times New Roman"/>
          <w:i w:val="false"/>
        </w:rPr>
        <w:t>О результатах рейтинга города Нижневартовска по обеспечению благоприятного инвестиционного климата и содействию развития конкуренции по итогам 20</w:t>
      </w:r>
      <w:r>
        <w:rPr>
          <w:rFonts w:eastAsia="Times New Roman" w:ascii="Times New Roman" w:hAnsi="Times New Roman"/>
          <w:b/>
          <w:bCs/>
          <w:i w:val="false"/>
          <w:iCs/>
          <w:sz w:val="28"/>
          <w:szCs w:val="28"/>
          <w:lang w:eastAsia="en-US"/>
        </w:rPr>
        <w:t>20</w:t>
      </w:r>
      <w:r>
        <w:rPr>
          <w:rFonts w:ascii="Times New Roman" w:hAnsi="Times New Roman"/>
          <w:i w:val="false"/>
        </w:rPr>
        <w:t xml:space="preserve"> года.</w:t>
      </w:r>
    </w:p>
    <w:p>
      <w:pPr>
        <w:pStyle w:val="Normal"/>
        <w:spacing w:lineRule="auto" w:line="240" w:before="0" w:after="0"/>
        <w:ind w:firstLine="709"/>
        <w:jc w:val="both"/>
        <w:rPr>
          <w:rFonts w:ascii="Times New Roman" w:hAnsi="Times New Roman"/>
          <w:b w:val="false"/>
          <w:b w:val="false"/>
          <w:i w:val="false"/>
          <w:i w:val="false"/>
        </w:rPr>
      </w:pPr>
      <w:r>
        <w:rPr>
          <w:b w:val="false"/>
          <w:i w:val="false"/>
        </w:rPr>
      </w:r>
    </w:p>
    <w:p>
      <w:pPr>
        <w:pStyle w:val="2"/>
        <w:spacing w:lineRule="auto" w:line="240" w:before="0" w:after="0"/>
        <w:ind w:firstLine="709"/>
        <w:jc w:val="both"/>
        <w:rPr>
          <w:rFonts w:ascii="Times New Roman" w:hAnsi="Times New Roman"/>
          <w:b w:val="false"/>
          <w:b w:val="false"/>
          <w:i w:val="false"/>
          <w:i w:val="false"/>
        </w:rPr>
      </w:pPr>
      <w:r>
        <w:rPr>
          <w:rFonts w:ascii="Times New Roman" w:hAnsi="Times New Roman"/>
          <w:b w:val="false"/>
          <w:i w:val="false"/>
        </w:rPr>
        <w:t>По итогам рейтинга муниципальных образований Ханты-Мансийского автономного округа – Югры по обеспечению благоприятного ин</w:t>
      </w:r>
      <w:r>
        <w:rPr>
          <w:rFonts w:ascii="Times New Roman" w:hAnsi="Times New Roman"/>
          <w:b w:val="false"/>
          <w:i w:val="false"/>
          <w:shd w:fill="auto" w:val="clear"/>
        </w:rPr>
        <w:t>вестиционного климата и содействию развитию конкуренции за 20</w:t>
      </w:r>
      <w:r>
        <w:rPr>
          <w:rFonts w:eastAsia="Times New Roman" w:ascii="Times New Roman" w:hAnsi="Times New Roman"/>
          <w:b w:val="false"/>
          <w:bCs/>
          <w:i w:val="false"/>
          <w:iCs/>
          <w:sz w:val="28"/>
          <w:szCs w:val="28"/>
          <w:shd w:fill="auto" w:val="clear"/>
          <w:lang w:eastAsia="en-US"/>
        </w:rPr>
        <w:t>20</w:t>
      </w:r>
      <w:r>
        <w:rPr>
          <w:rFonts w:ascii="Times New Roman" w:hAnsi="Times New Roman"/>
          <w:b w:val="false"/>
          <w:i w:val="false"/>
          <w:shd w:fill="auto" w:val="clear"/>
        </w:rPr>
        <w:t xml:space="preserve"> год Нижневартовск занял 3 место (в прошлом году 4 место). По итогам рейтинга город Нижневартовск относится к муниципальным образованиям с хор</w:t>
      </w:r>
      <w:r>
        <w:rPr>
          <w:rFonts w:ascii="Times New Roman" w:hAnsi="Times New Roman"/>
          <w:b w:val="false"/>
          <w:i w:val="false"/>
        </w:rPr>
        <w:t xml:space="preserve">ошими условиями развития предпринимательской и инвестиционной деятельности, хорошим уровнем развития конкуренции. </w:t>
      </w:r>
    </w:p>
    <w:p>
      <w:pPr>
        <w:pStyle w:val="Normal"/>
        <w:spacing w:lineRule="auto" w:line="240" w:before="0" w:after="0"/>
        <w:jc w:val="both"/>
        <w:rPr/>
      </w:pPr>
      <w:r>
        <w:rPr/>
        <w:tab/>
        <w:t>Рейтинг проводился по 3</w:t>
      </w:r>
      <w:r>
        <w:rPr>
          <w:sz w:val="28"/>
          <w:szCs w:val="28"/>
          <w:lang w:eastAsia="en-US"/>
        </w:rPr>
        <w:t>2</w:t>
      </w:r>
      <w:r>
        <w:rPr/>
        <w:t xml:space="preserve"> показателям (в том числ</w:t>
      </w:r>
      <w:r>
        <w:rPr>
          <w:shd w:fill="auto" w:val="clear"/>
        </w:rPr>
        <w:t xml:space="preserve">е по </w:t>
      </w:r>
      <w:r>
        <w:rPr>
          <w:rFonts w:eastAsia="Calibri" w:cs="Times New Roman"/>
          <w:color w:val="000000"/>
          <w:kern w:val="0"/>
          <w:sz w:val="28"/>
          <w:szCs w:val="28"/>
          <w:shd w:fill="auto" w:val="clear"/>
          <w:lang w:val="ru-RU" w:eastAsia="en-US" w:bidi="ar-SA"/>
        </w:rPr>
        <w:t>5</w:t>
      </w:r>
      <w:r>
        <w:rPr>
          <w:shd w:fill="auto" w:val="clear"/>
        </w:rPr>
        <w:t xml:space="preserve"> но</w:t>
      </w:r>
      <w:r>
        <w:rPr/>
        <w:t>вым показателям), и п</w:t>
      </w:r>
      <w:r>
        <w:rPr>
          <w:shd w:fill="auto" w:val="clear"/>
        </w:rPr>
        <w:t xml:space="preserve">о </w:t>
      </w:r>
      <w:r>
        <w:rPr>
          <w:rFonts w:eastAsia="Calibri" w:cs="Times New Roman"/>
          <w:color w:val="000000"/>
          <w:kern w:val="0"/>
          <w:sz w:val="28"/>
          <w:szCs w:val="28"/>
          <w:shd w:fill="auto" w:val="clear"/>
          <w:lang w:val="ru-RU" w:eastAsia="en-US" w:bidi="ar-SA"/>
        </w:rPr>
        <w:t>6</w:t>
      </w:r>
      <w:r>
        <w:rPr>
          <w:shd w:fill="auto" w:val="clear"/>
        </w:rPr>
        <w:t xml:space="preserve"> из н</w:t>
      </w:r>
      <w:r>
        <w:rPr/>
        <w:t>их мы показали положительную динамику.</w:t>
      </w:r>
    </w:p>
    <w:p>
      <w:pPr>
        <w:pStyle w:val="Normal"/>
        <w:spacing w:lineRule="auto" w:line="240" w:before="0" w:after="0"/>
        <w:jc w:val="both"/>
        <w:rPr>
          <w:b/>
          <w:b/>
        </w:rPr>
      </w:pPr>
      <w:r>
        <w:rPr>
          <w:b/>
        </w:rPr>
        <w:tab/>
        <w:t>Остановлюсь на основных показателях, по которым сложилась положительная динамика в сравнении с прошлым годом:</w:t>
      </w:r>
    </w:p>
    <w:p>
      <w:pPr>
        <w:pStyle w:val="Normal"/>
        <w:spacing w:lineRule="auto" w:line="240" w:before="0" w:after="0"/>
        <w:jc w:val="both"/>
        <w:rPr>
          <w:b/>
          <w:b/>
        </w:rPr>
      </w:pPr>
      <w:r>
        <w:rPr>
          <w:b/>
        </w:rPr>
        <w:tab/>
        <w:t>1) «Динамика инвестиций в основной капитал (за исключением инвестиций по виду экономической деятельности «Добыча полезных ископаемых»)».</w:t>
      </w:r>
    </w:p>
    <w:p>
      <w:pPr>
        <w:pStyle w:val="Normal"/>
        <w:spacing w:lineRule="auto" w:line="240" w:before="0" w:after="0"/>
        <w:jc w:val="both"/>
        <w:rPr>
          <w:b w:val="false"/>
          <w:b w:val="false"/>
          <w:bCs w:val="false"/>
        </w:rPr>
      </w:pPr>
      <w:r>
        <w:rPr>
          <w:b w:val="false"/>
          <w:bCs w:val="false"/>
        </w:rPr>
        <w:tab/>
        <w:t xml:space="preserve">Основной источник инвестиций в экономику города — капитальные вложения частных предприятий, функционирующих на территории города. Нижневартовск набрал 4,5 балла из 5 максимально возможных (в прошлом году 2 балла). </w:t>
      </w:r>
    </w:p>
    <w:p>
      <w:pPr>
        <w:pStyle w:val="Normal"/>
        <w:spacing w:lineRule="auto" w:line="240" w:before="0" w:after="0"/>
        <w:jc w:val="both"/>
        <w:rPr>
          <w:b/>
          <w:b/>
          <w:bCs/>
        </w:rPr>
      </w:pPr>
      <w:r>
        <w:rPr>
          <w:b/>
          <w:bCs/>
        </w:rPr>
        <w:tab/>
        <w:t>2) «</w:t>
      </w:r>
      <w:r>
        <w:rPr>
          <w:rFonts w:cs="Times New Roman"/>
          <w:b/>
          <w:bCs/>
        </w:rPr>
        <w:t>Оценка предпринимательским сообществом инвестиционного климата муниципального образования».</w:t>
      </w:r>
    </w:p>
    <w:p>
      <w:pPr>
        <w:pStyle w:val="Normal"/>
        <w:spacing w:lineRule="auto" w:line="240" w:before="0" w:after="0"/>
        <w:jc w:val="both"/>
        <w:rPr>
          <w:b w:val="false"/>
          <w:b w:val="false"/>
          <w:bCs w:val="false"/>
        </w:rPr>
      </w:pPr>
      <w:r>
        <w:rPr>
          <w:rFonts w:cs="Times New Roman"/>
          <w:b w:val="false"/>
          <w:bCs w:val="false"/>
        </w:rPr>
        <w:tab/>
        <w:t>Для расчета показателя использованы результаты опроса представителей бизнеса, проведенного БУ «Региональный аналитический центр». Органами местного самоуправления муниципальных образований направлены списки кандидатур из числа представителей предпринимательского сообщества. Число кандидатур от каждого муниципального образования составило 1% от общего числа малых и средний предприятий. Представителям бизнеса направлены анкеты посредством электронной почты, проведены телефонные переговоры, предложено участие в онлайн анкетировании.</w:t>
      </w:r>
    </w:p>
    <w:p>
      <w:pPr>
        <w:pStyle w:val="Normal"/>
        <w:spacing w:lineRule="auto" w:line="240" w:before="0" w:after="0"/>
        <w:jc w:val="both"/>
        <w:rPr>
          <w:b w:val="false"/>
          <w:b w:val="false"/>
          <w:bCs w:val="false"/>
        </w:rPr>
      </w:pPr>
      <w:r>
        <w:rPr>
          <w:rFonts w:cs="Times New Roman"/>
          <w:b w:val="false"/>
          <w:bCs w:val="false"/>
        </w:rPr>
        <w:tab/>
        <w:t>Респонденты оценивали инвестиционный климат муниципального образования по следующим критериям:</w:t>
      </w:r>
    </w:p>
    <w:p>
      <w:pPr>
        <w:pStyle w:val="Normal"/>
        <w:spacing w:lineRule="auto" w:line="240" w:before="0" w:after="0"/>
        <w:jc w:val="both"/>
        <w:rPr>
          <w:b w:val="false"/>
          <w:b w:val="false"/>
          <w:bCs w:val="false"/>
        </w:rPr>
      </w:pPr>
      <w:r>
        <w:rPr>
          <w:rFonts w:cs="Times New Roman"/>
          <w:b w:val="false"/>
          <w:bCs w:val="false"/>
        </w:rPr>
        <w:tab/>
        <w:t>1) оценка инвестиционного климата в муниципальном образовании,</w:t>
      </w:r>
    </w:p>
    <w:p>
      <w:pPr>
        <w:pStyle w:val="Normal"/>
        <w:spacing w:lineRule="auto" w:line="240" w:before="0" w:after="0"/>
        <w:jc w:val="both"/>
        <w:rPr>
          <w:b w:val="false"/>
          <w:b w:val="false"/>
          <w:bCs w:val="false"/>
        </w:rPr>
      </w:pPr>
      <w:r>
        <w:rPr>
          <w:rFonts w:cs="Times New Roman"/>
          <w:b w:val="false"/>
          <w:bCs w:val="false"/>
        </w:rPr>
        <w:tab/>
        <w:t>2) доступность инвестиционных площадок на территории муниципального образования, предлагаемых для реализации инвестиционных проектов,</w:t>
      </w:r>
    </w:p>
    <w:p>
      <w:pPr>
        <w:pStyle w:val="Normal"/>
        <w:spacing w:lineRule="auto" w:line="240" w:before="0" w:after="0"/>
        <w:jc w:val="both"/>
        <w:rPr>
          <w:b w:val="false"/>
          <w:b w:val="false"/>
          <w:bCs w:val="false"/>
        </w:rPr>
      </w:pPr>
      <w:r>
        <w:rPr>
          <w:rFonts w:cs="Times New Roman"/>
          <w:b w:val="false"/>
          <w:bCs w:val="false"/>
        </w:rPr>
        <w:tab/>
        <w:t>3) наличие мер защиты прав инвесторов,</w:t>
      </w:r>
    </w:p>
    <w:p>
      <w:pPr>
        <w:pStyle w:val="Normal"/>
        <w:spacing w:lineRule="auto" w:line="240" w:before="0" w:after="0"/>
        <w:jc w:val="both"/>
        <w:rPr>
          <w:b w:val="false"/>
          <w:b w:val="false"/>
          <w:bCs w:val="false"/>
        </w:rPr>
      </w:pPr>
      <w:r>
        <w:rPr>
          <w:rFonts w:cs="Times New Roman"/>
          <w:b w:val="false"/>
          <w:bCs w:val="false"/>
        </w:rPr>
        <w:tab/>
        <w:t>4) наличие механизмов поддержки инвестиционной деятельности в муниципальном образовании,</w:t>
      </w:r>
    </w:p>
    <w:p>
      <w:pPr>
        <w:pStyle w:val="Normal"/>
        <w:spacing w:lineRule="auto" w:line="240" w:before="0" w:after="0"/>
        <w:jc w:val="both"/>
        <w:rPr>
          <w:b w:val="false"/>
          <w:b w:val="false"/>
          <w:bCs w:val="false"/>
        </w:rPr>
      </w:pPr>
      <w:r>
        <w:rPr>
          <w:rFonts w:cs="Times New Roman"/>
          <w:b w:val="false"/>
          <w:bCs w:val="false"/>
        </w:rPr>
        <w:tab/>
        <w:t>5) наличие канала прямой связи инвесторов и руководства муниципального образования.</w:t>
      </w:r>
    </w:p>
    <w:p>
      <w:pPr>
        <w:pStyle w:val="Normal"/>
        <w:spacing w:lineRule="auto" w:line="240" w:before="0" w:after="0"/>
        <w:jc w:val="both"/>
        <w:rPr>
          <w:b w:val="false"/>
          <w:b w:val="false"/>
          <w:bCs w:val="false"/>
        </w:rPr>
      </w:pPr>
      <w:r>
        <w:rPr>
          <w:rFonts w:cs="Times New Roman"/>
          <w:b w:val="false"/>
          <w:bCs w:val="false"/>
        </w:rPr>
        <w:tab/>
        <w:t>Набранный балл — 4, в прошло году — 3,7.</w:t>
      </w:r>
    </w:p>
    <w:p>
      <w:pPr>
        <w:pStyle w:val="Normal"/>
        <w:spacing w:lineRule="auto" w:line="240" w:before="0" w:after="0"/>
        <w:jc w:val="both"/>
        <w:rPr>
          <w:b/>
          <w:b/>
          <w:bCs/>
        </w:rPr>
      </w:pPr>
      <w:r>
        <w:rPr>
          <w:rFonts w:cs="Times New Roman"/>
          <w:b/>
          <w:bCs/>
        </w:rPr>
        <w:tab/>
        <w:t>3) «Эффективность мер муниципальной поддержки».</w:t>
      </w:r>
    </w:p>
    <w:p>
      <w:pPr>
        <w:pStyle w:val="Normal"/>
        <w:spacing w:lineRule="auto" w:line="240" w:before="0" w:after="0"/>
        <w:jc w:val="both"/>
        <w:rPr>
          <w:b w:val="false"/>
          <w:b w:val="false"/>
          <w:bCs w:val="false"/>
        </w:rPr>
      </w:pPr>
      <w:r>
        <w:rPr>
          <w:rFonts w:cs="Times New Roman"/>
          <w:b w:val="false"/>
          <w:bCs w:val="false"/>
        </w:rPr>
        <w:tab/>
        <w:t xml:space="preserve">При расчете показателя, характеризующего эффективность мер муниципальной поддержки, применялись фактические данные, сформированные исполнительными органами государственной власти автономного округа. </w:t>
        <w:tab/>
        <w:t>Показатель оценивался по следующим критериям:</w:t>
      </w:r>
    </w:p>
    <w:p>
      <w:pPr>
        <w:pStyle w:val="Normal"/>
        <w:spacing w:lineRule="auto" w:line="240" w:before="0" w:after="0"/>
        <w:jc w:val="both"/>
        <w:rPr>
          <w:b w:val="false"/>
          <w:b w:val="false"/>
          <w:bCs w:val="false"/>
        </w:rPr>
      </w:pPr>
      <w:r>
        <w:rPr>
          <w:rFonts w:cs="Times New Roman"/>
          <w:b w:val="false"/>
          <w:bCs w:val="false"/>
        </w:rPr>
        <w:tab/>
        <w:t>1) количество соглашений на предоставление мер муниципальной поддержки, заключенных в отчетном периоде, в том числе договоров аренды (как мера имущественной муниципальной поддержки);</w:t>
      </w:r>
    </w:p>
    <w:p>
      <w:pPr>
        <w:pStyle w:val="Normal"/>
        <w:spacing w:lineRule="auto" w:line="240" w:before="0" w:after="0"/>
        <w:jc w:val="both"/>
        <w:rPr>
          <w:b w:val="false"/>
          <w:b w:val="false"/>
          <w:bCs w:val="false"/>
        </w:rPr>
      </w:pPr>
      <w:r>
        <w:rPr>
          <w:rFonts w:cs="Times New Roman"/>
          <w:b w:val="false"/>
          <w:bCs w:val="false"/>
        </w:rPr>
        <w:tab/>
        <w:t>2) отношение числа планируемых к созданию рабочих мест, согласно заключенных в отчетном периоде соглашений, к численности трудоспособного населения муниципального образования.</w:t>
      </w:r>
    </w:p>
    <w:p>
      <w:pPr>
        <w:pStyle w:val="Normal"/>
        <w:spacing w:lineRule="auto" w:line="240" w:before="0" w:after="0"/>
        <w:jc w:val="both"/>
        <w:rPr>
          <w:b w:val="false"/>
          <w:b w:val="false"/>
          <w:bCs w:val="false"/>
        </w:rPr>
      </w:pPr>
      <w:r>
        <w:rPr>
          <w:rFonts w:cs="Times New Roman"/>
          <w:b w:val="false"/>
          <w:bCs w:val="false"/>
        </w:rPr>
        <w:tab/>
        <w:t>Набранный балл — 4, в прошло году — 3.</w:t>
      </w:r>
    </w:p>
    <w:p>
      <w:pPr>
        <w:pStyle w:val="Normal"/>
        <w:spacing w:lineRule="auto" w:line="240" w:before="0" w:after="0"/>
        <w:jc w:val="both"/>
        <w:rPr>
          <w:b w:val="false"/>
          <w:b w:val="false"/>
          <w:bCs w:val="false"/>
        </w:rPr>
      </w:pPr>
      <w:r>
        <w:rPr>
          <w:rFonts w:cs="Times New Roman"/>
          <w:b w:val="false"/>
          <w:bCs w:val="false"/>
        </w:rPr>
        <w:tab/>
        <w:t xml:space="preserve"> </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pPr>
      <w:r>
        <w:rPr>
          <w:rFonts w:ascii="Tinos" w:hAnsi="Tinos"/>
          <w:b w:val="false"/>
          <w:bCs w:val="false"/>
          <w:sz w:val="28"/>
          <w:szCs w:val="28"/>
        </w:rPr>
        <w:tab/>
        <w:t>Показатели, по которым положительная динамика в сравнении с 201</w:t>
      </w:r>
      <w:r>
        <w:rPr>
          <w:rFonts w:eastAsia="Calibri" w:cs="Times New Roman" w:ascii="Tinos" w:hAnsi="Tinos"/>
          <w:b w:val="false"/>
          <w:bCs w:val="false"/>
          <w:color w:val="auto"/>
          <w:kern w:val="0"/>
          <w:sz w:val="28"/>
          <w:szCs w:val="28"/>
          <w:lang w:val="ru-RU" w:eastAsia="en-US" w:bidi="ar-SA"/>
        </w:rPr>
        <w:t>9</w:t>
      </w:r>
      <w:r>
        <w:rPr>
          <w:rFonts w:ascii="Tinos" w:hAnsi="Tinos"/>
          <w:b w:val="false"/>
          <w:bCs w:val="false"/>
          <w:sz w:val="28"/>
          <w:szCs w:val="28"/>
        </w:rPr>
        <w:t xml:space="preserve"> годом:</w:t>
      </w:r>
    </w:p>
    <w:p>
      <w:pPr>
        <w:pStyle w:val="Normal"/>
        <w:numPr>
          <w:ilvl w:val="0"/>
          <w:numId w:val="2"/>
        </w:numPr>
        <w:tabs>
          <w:tab w:val="clear" w:pos="708"/>
          <w:tab w:val="left" w:pos="1134" w:leader="none"/>
        </w:tabs>
        <w:spacing w:lineRule="auto" w:line="240" w:before="0" w:after="0"/>
        <w:ind w:left="0" w:firstLine="709"/>
        <w:jc w:val="both"/>
        <w:rPr>
          <w:rFonts w:ascii="Tinos" w:hAnsi="Tinos"/>
          <w:b w:val="false"/>
          <w:b w:val="false"/>
          <w:bCs w:val="false"/>
          <w:sz w:val="28"/>
          <w:szCs w:val="28"/>
        </w:rPr>
      </w:pPr>
      <w:r>
        <w:rPr>
          <w:rFonts w:ascii="Tinos" w:hAnsi="Tinos"/>
          <w:b w:val="false"/>
          <w:bCs w:val="false"/>
          <w:sz w:val="28"/>
          <w:szCs w:val="28"/>
        </w:rPr>
        <w:t>«Динамика инвестиций в основной капитал (за исключением инвестиций по виду экономической деятельности «Добыча полезных ископаемых»)»,</w:t>
      </w:r>
    </w:p>
    <w:p>
      <w:pPr>
        <w:pStyle w:val="Normal"/>
        <w:numPr>
          <w:ilvl w:val="0"/>
          <w:numId w:val="2"/>
        </w:numPr>
        <w:tabs>
          <w:tab w:val="clear" w:pos="708"/>
          <w:tab w:val="left" w:pos="1134" w:leader="none"/>
        </w:tabs>
        <w:spacing w:lineRule="auto" w:line="240" w:before="0" w:after="0"/>
        <w:ind w:left="0" w:firstLine="709"/>
        <w:jc w:val="both"/>
        <w:rPr>
          <w:rFonts w:ascii="Tinos" w:hAnsi="Tinos"/>
          <w:b w:val="false"/>
          <w:b w:val="false"/>
          <w:bCs w:val="false"/>
          <w:sz w:val="28"/>
          <w:szCs w:val="28"/>
        </w:rPr>
      </w:pPr>
      <w:r>
        <w:rPr>
          <w:rFonts w:ascii="Tinos" w:hAnsi="Tinos"/>
          <w:b w:val="false"/>
          <w:bCs w:val="false"/>
          <w:sz w:val="28"/>
          <w:szCs w:val="28"/>
        </w:rPr>
        <w:t>«</w:t>
      </w:r>
      <w:r>
        <w:rPr>
          <w:rFonts w:cs="Times New Roman" w:ascii="Tinos" w:hAnsi="Tinos"/>
          <w:b w:val="false"/>
          <w:bCs w:val="false"/>
          <w:sz w:val="28"/>
          <w:szCs w:val="28"/>
        </w:rPr>
        <w:t>Оценка предпринимательским сообществом инвестиционного климата муниципального образования»,</w:t>
      </w:r>
    </w:p>
    <w:p>
      <w:pPr>
        <w:pStyle w:val="Normal"/>
        <w:numPr>
          <w:ilvl w:val="0"/>
          <w:numId w:val="2"/>
        </w:numPr>
        <w:tabs>
          <w:tab w:val="clear" w:pos="708"/>
          <w:tab w:val="left" w:pos="1134" w:leader="none"/>
        </w:tabs>
        <w:spacing w:lineRule="auto" w:line="240" w:before="0" w:after="0"/>
        <w:ind w:left="0" w:firstLine="709"/>
        <w:jc w:val="both"/>
        <w:rPr>
          <w:rFonts w:ascii="Tinos" w:hAnsi="Tinos"/>
          <w:b w:val="false"/>
          <w:b w:val="false"/>
          <w:bCs w:val="false"/>
          <w:sz w:val="28"/>
          <w:szCs w:val="28"/>
        </w:rPr>
      </w:pPr>
      <w:r>
        <w:rPr>
          <w:rFonts w:cs="Times New Roman" w:ascii="Tinos" w:hAnsi="Tinos"/>
          <w:b w:val="false"/>
          <w:bCs w:val="false"/>
          <w:sz w:val="28"/>
          <w:szCs w:val="28"/>
        </w:rPr>
        <w:t>«Эффективность мер муниципальной поддержки»,</w:t>
      </w:r>
    </w:p>
    <w:p>
      <w:pPr>
        <w:pStyle w:val="Normal"/>
        <w:widowControl/>
        <w:numPr>
          <w:ilvl w:val="0"/>
          <w:numId w:val="2"/>
        </w:numPr>
        <w:tabs>
          <w:tab w:val="clear" w:pos="708"/>
          <w:tab w:val="left" w:pos="1134" w:leader="none"/>
        </w:tabs>
        <w:suppressAutoHyphens w:val="true"/>
        <w:bidi w:val="0"/>
        <w:spacing w:lineRule="auto" w:line="240" w:before="0" w:after="0"/>
        <w:ind w:left="0" w:right="0" w:firstLine="680"/>
        <w:jc w:val="both"/>
        <w:rPr>
          <w:rFonts w:ascii="Tinos" w:hAnsi="Tinos"/>
          <w:b w:val="false"/>
          <w:b w:val="false"/>
          <w:bCs w:val="false"/>
          <w:sz w:val="28"/>
          <w:szCs w:val="28"/>
        </w:rPr>
      </w:pPr>
      <w:r>
        <w:rPr>
          <w:rFonts w:cs="Times New Roman" w:ascii="Tinos" w:hAnsi="Tinos"/>
          <w:b w:val="false"/>
          <w:bCs w:val="false"/>
          <w:sz w:val="28"/>
          <w:szCs w:val="28"/>
        </w:rPr>
        <w:t>Уровень удовлетворенности предпринимательского сообщества качеством предоставления муниципальных услуг,</w:t>
      </w:r>
    </w:p>
    <w:p>
      <w:pPr>
        <w:pStyle w:val="Normal"/>
        <w:widowControl/>
        <w:numPr>
          <w:ilvl w:val="0"/>
          <w:numId w:val="2"/>
        </w:numPr>
        <w:tabs>
          <w:tab w:val="clear" w:pos="708"/>
          <w:tab w:val="left" w:pos="1134" w:leader="none"/>
        </w:tabs>
        <w:suppressAutoHyphens w:val="true"/>
        <w:bidi w:val="0"/>
        <w:spacing w:lineRule="auto" w:line="240" w:before="0" w:after="0"/>
        <w:ind w:left="0" w:right="0" w:firstLine="680"/>
        <w:jc w:val="both"/>
        <w:rPr>
          <w:rFonts w:ascii="Tinos" w:hAnsi="Tinos" w:cs="Times New Roman"/>
          <w:b w:val="false"/>
          <w:b w:val="false"/>
          <w:bCs w:val="false"/>
          <w:sz w:val="28"/>
          <w:szCs w:val="28"/>
        </w:rPr>
      </w:pPr>
      <w:r>
        <w:rPr>
          <w:rFonts w:cs="Times New Roman" w:ascii="Tinos" w:hAnsi="Tinos"/>
          <w:b w:val="false"/>
          <w:bCs w:val="false"/>
          <w:sz w:val="28"/>
          <w:szCs w:val="28"/>
        </w:rPr>
        <w:t>Наличие утвержденного перечня товарных рынков для содействия развитию конкуренции в муниципальных образованиях,</w:t>
      </w:r>
    </w:p>
    <w:p>
      <w:pPr>
        <w:pStyle w:val="Normal"/>
        <w:widowControl/>
        <w:numPr>
          <w:ilvl w:val="0"/>
          <w:numId w:val="2"/>
        </w:numPr>
        <w:tabs>
          <w:tab w:val="clear" w:pos="708"/>
          <w:tab w:val="left" w:pos="1134" w:leader="none"/>
        </w:tabs>
        <w:suppressAutoHyphens w:val="true"/>
        <w:bidi w:val="0"/>
        <w:spacing w:lineRule="auto" w:line="240" w:before="0" w:after="0"/>
        <w:ind w:left="0" w:right="0" w:firstLine="680"/>
        <w:jc w:val="both"/>
        <w:rPr>
          <w:rFonts w:ascii="Tinos" w:hAnsi="Tinos" w:cs="Times New Roman"/>
          <w:b w:val="false"/>
          <w:b w:val="false"/>
          <w:bCs w:val="false"/>
          <w:sz w:val="28"/>
          <w:szCs w:val="28"/>
        </w:rPr>
      </w:pPr>
      <w:r>
        <w:rPr>
          <w:rFonts w:cs="Times New Roman" w:ascii="Tinos" w:hAnsi="Tinos"/>
          <w:b w:val="false"/>
          <w:bCs w:val="false"/>
          <w:sz w:val="28"/>
          <w:szCs w:val="28"/>
        </w:rPr>
        <w:t xml:space="preserve">Снижение количества нарушений антимонопольного законодательства со стороны ОМСУ </w:t>
      </w:r>
      <w:r>
        <w:rPr>
          <w:rFonts w:eastAsia="Calibri" w:cs="Times New Roman" w:ascii="Tinos" w:hAnsi="Tinos"/>
          <w:b w:val="false"/>
          <w:bCs w:val="false"/>
          <w:color w:val="auto"/>
          <w:sz w:val="28"/>
          <w:szCs w:val="28"/>
          <w:lang w:val="ru-RU" w:eastAsia="zh-CN" w:bidi="ar-SA"/>
        </w:rPr>
        <w:t xml:space="preserve">в отчетном году </w:t>
      </w:r>
      <w:r>
        <w:rPr>
          <w:rFonts w:cs="Times New Roman" w:ascii="Tinos" w:hAnsi="Tinos"/>
          <w:b w:val="false"/>
          <w:bCs w:val="false"/>
          <w:sz w:val="28"/>
          <w:szCs w:val="28"/>
        </w:rPr>
        <w:t>по сравнению с предыдущим годом.</w:t>
      </w:r>
    </w:p>
    <w:p>
      <w:pPr>
        <w:pStyle w:val="ListParagraph"/>
        <w:numPr>
          <w:ilvl w:val="0"/>
          <w:numId w:val="0"/>
        </w:numPr>
        <w:tabs>
          <w:tab w:val="clear" w:pos="708"/>
          <w:tab w:val="left" w:pos="1134" w:leader="none"/>
        </w:tabs>
        <w:ind w:left="1065" w:hanging="0"/>
        <w:jc w:val="both"/>
        <w:rPr>
          <w:rFonts w:ascii="Tinos" w:hAnsi="Tinos"/>
          <w:b w:val="false"/>
          <w:b w:val="false"/>
          <w:bCs w:val="false"/>
          <w:sz w:val="28"/>
          <w:szCs w:val="28"/>
        </w:rPr>
      </w:pPr>
      <w:r>
        <w:rPr/>
      </w:r>
    </w:p>
    <w:sectPr>
      <w:footerReference w:type="default" r:id="rId2"/>
      <w:type w:val="nextPage"/>
      <w:pgSz w:w="11906" w:h="16838"/>
      <w:pgMar w:left="1759" w:right="629" w:header="0" w:top="851" w:footer="0" w:bottom="851"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Tinos">
    <w:charset w:val="01"/>
    <w:family w:val="roman"/>
    <w:pitch w:val="variable"/>
  </w:font>
  <w:font w:name="Times New Roman">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5798683"/>
    </w:sdtPr>
    <w:sdtContent>
      <w:p>
        <w:pPr>
          <w:pStyle w:val="Style32"/>
          <w:jc w:val="right"/>
          <w:rPr/>
        </w:pPr>
        <w:r>
          <w:rPr/>
          <w:fldChar w:fldCharType="begin"/>
        </w:r>
        <w:r>
          <w:rPr/>
          <w:instrText> PAGE </w:instrText>
        </w:r>
        <w:r>
          <w:rPr/>
          <w:fldChar w:fldCharType="separate"/>
        </w:r>
        <w:r>
          <w:rPr/>
          <w:t>2</w:t>
        </w:r>
        <w:r>
          <w:rPr/>
          <w:fldChar w:fldCharType="end"/>
        </w:r>
      </w:p>
    </w:sdtContent>
  </w:sdt>
  <w:p>
    <w:pPr>
      <w:pStyle w:val="Style32"/>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space"/>
      <w:lvlText w:val="–"/>
      <w:lvlJc w:val="left"/>
      <w:pPr>
        <w:tabs>
          <w:tab w:val="num" w:pos="0"/>
        </w:tabs>
        <w:ind w:left="143"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2">
    <w:lvl w:ilvl="0">
      <w:start w:val="1"/>
      <w:numFmt w:val="decimal"/>
      <w:lvlText w:val="%1."/>
      <w:lvlJc w:val="left"/>
      <w:pPr>
        <w:tabs>
          <w:tab w:val="num" w:pos="0"/>
        </w:tabs>
        <w:ind w:left="1065" w:hanging="360"/>
      </w:pPr>
      <w:rPr>
        <w:sz w:val="28"/>
        <w:szCs w:val="28"/>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6a85"/>
    <w:pPr>
      <w:widowControl/>
      <w:suppressAutoHyphens w:val="true"/>
      <w:bidi w:val="0"/>
      <w:spacing w:lineRule="auto" w:line="276" w:before="0" w:after="200"/>
      <w:jc w:val="left"/>
    </w:pPr>
    <w:rPr>
      <w:rFonts w:ascii="Times New Roman" w:hAnsi="Times New Roman" w:eastAsia="Calibri" w:cs="Times New Roman"/>
      <w:color w:val="auto"/>
      <w:kern w:val="0"/>
      <w:sz w:val="28"/>
      <w:szCs w:val="28"/>
      <w:lang w:val="ru-RU" w:eastAsia="en-US" w:bidi="ar-SA"/>
    </w:rPr>
  </w:style>
  <w:style w:type="paragraph" w:styleId="1">
    <w:name w:val="Heading 1"/>
    <w:basedOn w:val="Normal"/>
    <w:next w:val="Normal"/>
    <w:link w:val="10"/>
    <w:uiPriority w:val="9"/>
    <w:qFormat/>
    <w:rsid w:val="00072e14"/>
    <w:pPr>
      <w:keepNext w:val="true"/>
      <w:spacing w:before="240" w:after="60"/>
      <w:outlineLvl w:val="0"/>
    </w:pPr>
    <w:rPr>
      <w:rFonts w:ascii="Cambria" w:hAnsi="Cambria" w:eastAsia="Times New Roman"/>
      <w:b/>
      <w:bCs/>
      <w:kern w:val="2"/>
      <w:sz w:val="32"/>
      <w:szCs w:val="32"/>
    </w:rPr>
  </w:style>
  <w:style w:type="paragraph" w:styleId="2">
    <w:name w:val="Heading 2"/>
    <w:basedOn w:val="Normal"/>
    <w:next w:val="Normal"/>
    <w:link w:val="20"/>
    <w:uiPriority w:val="9"/>
    <w:unhideWhenUsed/>
    <w:qFormat/>
    <w:rsid w:val="006226b0"/>
    <w:pPr>
      <w:keepNext w:val="true"/>
      <w:spacing w:before="240" w:after="60"/>
      <w:outlineLvl w:val="1"/>
    </w:pPr>
    <w:rPr>
      <w:rFonts w:ascii="Cambria" w:hAnsi="Cambria" w:eastAsia="Times New Roman"/>
      <w:b/>
      <w:bCs/>
      <w:i/>
      <w:iCs/>
    </w:rPr>
  </w:style>
  <w:style w:type="paragraph" w:styleId="3">
    <w:name w:val="Heading 3"/>
    <w:basedOn w:val="Normal"/>
    <w:link w:val="30"/>
    <w:uiPriority w:val="9"/>
    <w:qFormat/>
    <w:rsid w:val="00947b73"/>
    <w:pPr>
      <w:spacing w:lineRule="auto" w:line="240" w:beforeAutospacing="1" w:afterAutospacing="1"/>
      <w:outlineLvl w:val="2"/>
    </w:pPr>
    <w:rPr>
      <w:rFonts w:eastAsia="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link w:val="3"/>
    <w:uiPriority w:val="9"/>
    <w:qFormat/>
    <w:rsid w:val="00947b73"/>
    <w:rPr>
      <w:rFonts w:eastAsia="Times New Roman"/>
      <w:b/>
      <w:bCs/>
      <w:sz w:val="27"/>
      <w:szCs w:val="27"/>
      <w:lang w:eastAsia="ru-RU"/>
    </w:rPr>
  </w:style>
  <w:style w:type="character" w:styleId="Appleconvertedspace" w:customStyle="1">
    <w:name w:val="apple-converted-space"/>
    <w:basedOn w:val="DefaultParagraphFont"/>
    <w:qFormat/>
    <w:rsid w:val="00947b73"/>
    <w:rPr/>
  </w:style>
  <w:style w:type="character" w:styleId="Style11">
    <w:name w:val="Интернет-ссылка"/>
    <w:uiPriority w:val="99"/>
    <w:unhideWhenUsed/>
    <w:rsid w:val="00947b73"/>
    <w:rPr>
      <w:color w:val="0000FF"/>
      <w:u w:val="single"/>
    </w:rPr>
  </w:style>
  <w:style w:type="character" w:styleId="Style12" w:customStyle="1">
    <w:name w:val="Текст выноски Знак"/>
    <w:link w:val="a5"/>
    <w:uiPriority w:val="99"/>
    <w:semiHidden/>
    <w:qFormat/>
    <w:rsid w:val="00a6458d"/>
    <w:rPr>
      <w:rFonts w:ascii="Segoe UI" w:hAnsi="Segoe UI" w:cs="Segoe UI"/>
      <w:sz w:val="18"/>
      <w:szCs w:val="18"/>
      <w:lang w:eastAsia="en-US"/>
    </w:rPr>
  </w:style>
  <w:style w:type="character" w:styleId="Strong">
    <w:name w:val="Strong"/>
    <w:uiPriority w:val="22"/>
    <w:qFormat/>
    <w:rsid w:val="00532a08"/>
    <w:rPr>
      <w:rFonts w:cs="Times New Roman"/>
      <w:b/>
      <w:bCs/>
    </w:rPr>
  </w:style>
  <w:style w:type="character" w:styleId="11" w:customStyle="1">
    <w:name w:val="Заголовок 1 Знак"/>
    <w:link w:val="1"/>
    <w:uiPriority w:val="9"/>
    <w:qFormat/>
    <w:rsid w:val="00072e14"/>
    <w:rPr>
      <w:rFonts w:ascii="Cambria" w:hAnsi="Cambria" w:eastAsia="Times New Roman" w:cs="Times New Roman"/>
      <w:b/>
      <w:bCs/>
      <w:kern w:val="2"/>
      <w:sz w:val="32"/>
      <w:szCs w:val="32"/>
      <w:lang w:eastAsia="en-US"/>
    </w:rPr>
  </w:style>
  <w:style w:type="character" w:styleId="Style13">
    <w:name w:val="Посещённая гиперссылка"/>
    <w:uiPriority w:val="99"/>
    <w:semiHidden/>
    <w:unhideWhenUsed/>
    <w:rsid w:val="007d7bd9"/>
    <w:rPr>
      <w:color w:val="800080"/>
      <w:u w:val="single"/>
    </w:rPr>
  </w:style>
  <w:style w:type="character" w:styleId="Style14" w:customStyle="1">
    <w:name w:val="Верхний колонтитул Знак"/>
    <w:link w:val="ab"/>
    <w:uiPriority w:val="99"/>
    <w:qFormat/>
    <w:rsid w:val="00d376ac"/>
    <w:rPr>
      <w:sz w:val="28"/>
      <w:szCs w:val="28"/>
      <w:lang w:eastAsia="en-US"/>
    </w:rPr>
  </w:style>
  <w:style w:type="character" w:styleId="Style15" w:customStyle="1">
    <w:name w:val="Нижний колонтитул Знак"/>
    <w:link w:val="ad"/>
    <w:uiPriority w:val="99"/>
    <w:qFormat/>
    <w:rsid w:val="00d376ac"/>
    <w:rPr>
      <w:sz w:val="28"/>
      <w:szCs w:val="28"/>
      <w:lang w:eastAsia="en-US"/>
    </w:rPr>
  </w:style>
  <w:style w:type="character" w:styleId="FontStyle42" w:customStyle="1">
    <w:name w:val="Font Style42"/>
    <w:uiPriority w:val="99"/>
    <w:qFormat/>
    <w:rsid w:val="00b17dfe"/>
    <w:rPr>
      <w:rFonts w:ascii="Times New Roman" w:hAnsi="Times New Roman" w:cs="Times New Roman"/>
      <w:sz w:val="24"/>
      <w:szCs w:val="24"/>
    </w:rPr>
  </w:style>
  <w:style w:type="character" w:styleId="Style16" w:customStyle="1">
    <w:name w:val="Без интервала Знак"/>
    <w:link w:val="af0"/>
    <w:uiPriority w:val="1"/>
    <w:qFormat/>
    <w:rsid w:val="00f46c27"/>
    <w:rPr>
      <w:rFonts w:eastAsia="Times New Roman"/>
      <w:sz w:val="24"/>
      <w:szCs w:val="24"/>
      <w:lang w:val="ru-RU" w:eastAsia="ru-RU" w:bidi="ar-SA"/>
    </w:rPr>
  </w:style>
  <w:style w:type="character" w:styleId="Style17">
    <w:name w:val="Выделение"/>
    <w:uiPriority w:val="20"/>
    <w:qFormat/>
    <w:rsid w:val="00513ba3"/>
    <w:rPr>
      <w:i/>
      <w:iCs/>
    </w:rPr>
  </w:style>
  <w:style w:type="character" w:styleId="Style18" w:customStyle="1">
    <w:name w:val="Список Знак"/>
    <w:link w:val="a"/>
    <w:qFormat/>
    <w:rsid w:val="00b109a0"/>
    <w:rPr>
      <w:rFonts w:eastAsia="Times New Roman"/>
      <w:sz w:val="24"/>
      <w:szCs w:val="24"/>
    </w:rPr>
  </w:style>
  <w:style w:type="character" w:styleId="S" w:customStyle="1">
    <w:name w:val="S_Обычный Знак"/>
    <w:link w:val="S"/>
    <w:qFormat/>
    <w:rsid w:val="00b109a0"/>
    <w:rPr>
      <w:rFonts w:eastAsia="Times New Roman"/>
      <w:sz w:val="24"/>
      <w:szCs w:val="24"/>
      <w:lang w:eastAsia="ar-SA"/>
    </w:rPr>
  </w:style>
  <w:style w:type="character" w:styleId="21" w:customStyle="1">
    <w:name w:val="Заголовок 2 Знак"/>
    <w:link w:val="2"/>
    <w:uiPriority w:val="9"/>
    <w:qFormat/>
    <w:rsid w:val="006226b0"/>
    <w:rPr>
      <w:rFonts w:ascii="Cambria" w:hAnsi="Cambria" w:eastAsia="Times New Roman" w:cs="Times New Roman"/>
      <w:b/>
      <w:bCs/>
      <w:i/>
      <w:iCs/>
      <w:sz w:val="28"/>
      <w:szCs w:val="28"/>
      <w:lang w:eastAsia="en-US"/>
    </w:rPr>
  </w:style>
  <w:style w:type="character" w:styleId="Annotationreference">
    <w:name w:val="annotation reference"/>
    <w:uiPriority w:val="99"/>
    <w:semiHidden/>
    <w:unhideWhenUsed/>
    <w:qFormat/>
    <w:rsid w:val="00046b3c"/>
    <w:rPr>
      <w:sz w:val="16"/>
      <w:szCs w:val="16"/>
    </w:rPr>
  </w:style>
  <w:style w:type="character" w:styleId="Style19" w:customStyle="1">
    <w:name w:val="Текст примечания Знак"/>
    <w:link w:val="af6"/>
    <w:uiPriority w:val="99"/>
    <w:semiHidden/>
    <w:qFormat/>
    <w:rsid w:val="00046b3c"/>
    <w:rPr>
      <w:lang w:eastAsia="en-US"/>
    </w:rPr>
  </w:style>
  <w:style w:type="character" w:styleId="Style20" w:customStyle="1">
    <w:name w:val="Тема примечания Знак"/>
    <w:link w:val="af8"/>
    <w:uiPriority w:val="99"/>
    <w:semiHidden/>
    <w:qFormat/>
    <w:rsid w:val="00046b3c"/>
    <w:rPr>
      <w:b/>
      <w:bCs/>
      <w:lang w:eastAsia="en-US"/>
    </w:rPr>
  </w:style>
  <w:style w:type="character" w:styleId="A1" w:customStyle="1">
    <w:name w:val="A1"/>
    <w:uiPriority w:val="99"/>
    <w:qFormat/>
    <w:rsid w:val="00046b3c"/>
    <w:rPr>
      <w:rFonts w:cs="PF BeauSans Pro Light"/>
      <w:color w:val="000000"/>
      <w:sz w:val="32"/>
      <w:szCs w:val="32"/>
    </w:rPr>
  </w:style>
  <w:style w:type="character" w:styleId="Style21" w:customStyle="1">
    <w:name w:val="Текст сноски Знак"/>
    <w:link w:val="afa"/>
    <w:uiPriority w:val="99"/>
    <w:qFormat/>
    <w:rsid w:val="00a84c8c"/>
    <w:rPr>
      <w:lang w:eastAsia="en-US"/>
    </w:rPr>
  </w:style>
  <w:style w:type="character" w:styleId="Style22">
    <w:name w:val="Привязка сноски"/>
    <w:rPr>
      <w:vertAlign w:val="superscript"/>
    </w:rPr>
  </w:style>
  <w:style w:type="character" w:styleId="FootnoteCharacters">
    <w:name w:val="Footnote Characters"/>
    <w:uiPriority w:val="99"/>
    <w:semiHidden/>
    <w:unhideWhenUsed/>
    <w:qFormat/>
    <w:rsid w:val="00a84c8c"/>
    <w:rPr>
      <w:vertAlign w:val="superscript"/>
    </w:rPr>
  </w:style>
  <w:style w:type="character" w:styleId="Extendedtextshort" w:customStyle="1">
    <w:name w:val="extended-text__short"/>
    <w:basedOn w:val="DefaultParagraphFont"/>
    <w:qFormat/>
    <w:rsid w:val="00f57325"/>
    <w:rPr/>
  </w:style>
  <w:style w:type="character" w:styleId="Style23" w:customStyle="1">
    <w:name w:val="Текст концевой сноски Знак"/>
    <w:link w:val="afd"/>
    <w:uiPriority w:val="99"/>
    <w:semiHidden/>
    <w:qFormat/>
    <w:rsid w:val="00934ece"/>
    <w:rPr>
      <w:lang w:eastAsia="en-US"/>
    </w:rPr>
  </w:style>
  <w:style w:type="character" w:styleId="Style24">
    <w:name w:val="Привязка концевой сноски"/>
    <w:rPr>
      <w:vertAlign w:val="superscript"/>
    </w:rPr>
  </w:style>
  <w:style w:type="character" w:styleId="EndnoteCharacters">
    <w:name w:val="Endnote Characters"/>
    <w:uiPriority w:val="99"/>
    <w:semiHidden/>
    <w:unhideWhenUsed/>
    <w:qFormat/>
    <w:rsid w:val="00934ece"/>
    <w:rPr>
      <w:vertAlign w:val="superscript"/>
    </w:rPr>
  </w:style>
  <w:style w:type="character" w:styleId="WW8Num1z4" w:customStyle="1">
    <w:name w:val="WW8Num1z4"/>
    <w:qFormat/>
    <w:rsid w:val="00153c1c"/>
    <w:rPr/>
  </w:style>
  <w:style w:type="character" w:styleId="ConsPlusNormal" w:customStyle="1">
    <w:name w:val="ConsPlusNormal Знак"/>
    <w:link w:val="ConsPlusNormal"/>
    <w:qFormat/>
    <w:locked/>
    <w:rsid w:val="00857fe0"/>
    <w:rPr>
      <w:sz w:val="24"/>
      <w:szCs w:val="24"/>
      <w:lang w:eastAsia="en-US"/>
    </w:rPr>
  </w:style>
  <w:style w:type="character" w:styleId="Linenumber">
    <w:name w:val="line number"/>
    <w:basedOn w:val="DefaultParagraphFont"/>
    <w:uiPriority w:val="99"/>
    <w:semiHidden/>
    <w:unhideWhenUsed/>
    <w:qFormat/>
    <w:rsid w:val="00821e93"/>
    <w:rPr/>
  </w:style>
  <w:style w:type="paragraph" w:styleId="Style25">
    <w:name w:val="Заголовок"/>
    <w:basedOn w:val="Normal"/>
    <w:next w:val="Style26"/>
    <w:qFormat/>
    <w:pPr>
      <w:keepNext w:val="true"/>
      <w:spacing w:before="240" w:after="120"/>
    </w:pPr>
    <w:rPr>
      <w:rFonts w:ascii="Liberation Sans" w:hAnsi="Liberation Sans" w:eastAsia="Droid Sans Fallback" w:cs="Droid Sans Devanagari"/>
      <w:sz w:val="28"/>
      <w:szCs w:val="28"/>
    </w:rPr>
  </w:style>
  <w:style w:type="paragraph" w:styleId="Style26">
    <w:name w:val="Body Text"/>
    <w:basedOn w:val="Normal"/>
    <w:pPr>
      <w:spacing w:lineRule="auto" w:line="276" w:before="0" w:after="140"/>
    </w:pPr>
    <w:rPr/>
  </w:style>
  <w:style w:type="paragraph" w:styleId="Style27">
    <w:name w:val="List"/>
    <w:basedOn w:val="Normal"/>
    <w:link w:val="af4"/>
    <w:rsid w:val="00b109a0"/>
    <w:pPr>
      <w:numPr>
        <w:ilvl w:val="0"/>
        <w:numId w:val="1"/>
      </w:numPr>
      <w:spacing w:lineRule="auto" w:line="360" w:before="0" w:after="0"/>
      <w:jc w:val="both"/>
    </w:pPr>
    <w:rPr>
      <w:rFonts w:eastAsia="Times New Roman"/>
      <w:sz w:val="24"/>
      <w:szCs w:val="24"/>
    </w:rPr>
  </w:style>
  <w:style w:type="paragraph" w:styleId="Style28">
    <w:name w:val="Caption"/>
    <w:basedOn w:val="Normal"/>
    <w:qFormat/>
    <w:pPr>
      <w:suppressLineNumbers/>
      <w:spacing w:before="120" w:after="120"/>
    </w:pPr>
    <w:rPr>
      <w:rFonts w:cs="Droid Sans Devanagari"/>
      <w:i/>
      <w:iCs/>
      <w:sz w:val="24"/>
      <w:szCs w:val="24"/>
    </w:rPr>
  </w:style>
  <w:style w:type="paragraph" w:styleId="Style29">
    <w:name w:val="Указатель"/>
    <w:basedOn w:val="Normal"/>
    <w:qFormat/>
    <w:pPr>
      <w:suppressLineNumbers/>
    </w:pPr>
    <w:rPr>
      <w:rFonts w:cs="Droid Sans Devanagari"/>
    </w:rPr>
  </w:style>
  <w:style w:type="paragraph" w:styleId="Formattext" w:customStyle="1">
    <w:name w:val="formattext"/>
    <w:basedOn w:val="Normal"/>
    <w:qFormat/>
    <w:rsid w:val="00947b73"/>
    <w:pPr>
      <w:spacing w:lineRule="auto" w:line="240" w:beforeAutospacing="1" w:afterAutospacing="1"/>
    </w:pPr>
    <w:rPr>
      <w:rFonts w:eastAsia="Times New Roman"/>
      <w:sz w:val="24"/>
      <w:szCs w:val="24"/>
      <w:lang w:eastAsia="ru-RU"/>
    </w:rPr>
  </w:style>
  <w:style w:type="paragraph" w:styleId="ConsPlusNormal1" w:customStyle="1">
    <w:name w:val="ConsPlusNormal"/>
    <w:link w:val="ConsPlusNormal0"/>
    <w:qFormat/>
    <w:rsid w:val="00e56eb8"/>
    <w:pPr>
      <w:widowControl/>
      <w:suppressAutoHyphens w:val="true"/>
      <w:bidi w:val="0"/>
      <w:spacing w:before="0" w:after="0"/>
      <w:jc w:val="left"/>
    </w:pPr>
    <w:rPr>
      <w:rFonts w:ascii="Times New Roman" w:hAnsi="Times New Roman" w:eastAsia="Calibri" w:cs="Times New Roman"/>
      <w:color w:val="auto"/>
      <w:kern w:val="0"/>
      <w:sz w:val="24"/>
      <w:szCs w:val="24"/>
      <w:lang w:val="ru-RU" w:eastAsia="en-US" w:bidi="ar-SA"/>
    </w:rPr>
  </w:style>
  <w:style w:type="paragraph" w:styleId="BalloonText">
    <w:name w:val="Balloon Text"/>
    <w:basedOn w:val="Normal"/>
    <w:link w:val="a6"/>
    <w:uiPriority w:val="99"/>
    <w:semiHidden/>
    <w:unhideWhenUsed/>
    <w:qFormat/>
    <w:rsid w:val="00a6458d"/>
    <w:pPr>
      <w:spacing w:lineRule="auto" w:line="240" w:before="0" w:after="0"/>
    </w:pPr>
    <w:rPr>
      <w:rFonts w:ascii="Segoe UI" w:hAnsi="Segoe UI"/>
      <w:sz w:val="18"/>
      <w:szCs w:val="18"/>
    </w:rPr>
  </w:style>
  <w:style w:type="paragraph" w:styleId="NormalWeb">
    <w:name w:val="Normal (Web)"/>
    <w:basedOn w:val="Normal"/>
    <w:uiPriority w:val="99"/>
    <w:unhideWhenUsed/>
    <w:qFormat/>
    <w:rsid w:val="00724ca7"/>
    <w:pPr>
      <w:spacing w:lineRule="auto" w:line="240" w:beforeAutospacing="1" w:afterAutospacing="1"/>
    </w:pPr>
    <w:rPr>
      <w:rFonts w:eastAsia="Times New Roman"/>
      <w:sz w:val="24"/>
      <w:szCs w:val="24"/>
      <w:lang w:eastAsia="ru-RU"/>
    </w:rPr>
  </w:style>
  <w:style w:type="paragraph" w:styleId="Default" w:customStyle="1">
    <w:name w:val="Default"/>
    <w:qFormat/>
    <w:rsid w:val="00dd7106"/>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22" w:customStyle="1">
    <w:name w:val="Знак2 Знак Знак Знак Знак Знак Знак"/>
    <w:basedOn w:val="Normal"/>
    <w:qFormat/>
    <w:rsid w:val="00a71c63"/>
    <w:pPr>
      <w:spacing w:lineRule="exact" w:line="240" w:before="0" w:after="160"/>
    </w:pPr>
    <w:rPr>
      <w:rFonts w:ascii="Verdana" w:hAnsi="Verdana" w:eastAsia="Times New Roman"/>
      <w:sz w:val="20"/>
      <w:szCs w:val="20"/>
      <w:lang w:val="en-US"/>
    </w:rPr>
  </w:style>
  <w:style w:type="paragraph" w:styleId="Style30">
    <w:name w:val="Верхний и нижний колонтитулы"/>
    <w:basedOn w:val="Normal"/>
    <w:qFormat/>
    <w:pPr/>
    <w:rPr/>
  </w:style>
  <w:style w:type="paragraph" w:styleId="Style31">
    <w:name w:val="Header"/>
    <w:basedOn w:val="Normal"/>
    <w:link w:val="ac"/>
    <w:uiPriority w:val="99"/>
    <w:unhideWhenUsed/>
    <w:rsid w:val="00d376ac"/>
    <w:pPr>
      <w:tabs>
        <w:tab w:val="clear" w:pos="708"/>
        <w:tab w:val="center" w:pos="4677" w:leader="none"/>
        <w:tab w:val="right" w:pos="9355" w:leader="none"/>
      </w:tabs>
    </w:pPr>
    <w:rPr/>
  </w:style>
  <w:style w:type="paragraph" w:styleId="Style32">
    <w:name w:val="Footer"/>
    <w:basedOn w:val="Normal"/>
    <w:link w:val="ae"/>
    <w:uiPriority w:val="99"/>
    <w:unhideWhenUsed/>
    <w:rsid w:val="00d376ac"/>
    <w:pPr>
      <w:tabs>
        <w:tab w:val="clear" w:pos="708"/>
        <w:tab w:val="center" w:pos="4677" w:leader="none"/>
        <w:tab w:val="right" w:pos="9355" w:leader="none"/>
      </w:tabs>
    </w:pPr>
    <w:rPr/>
  </w:style>
  <w:style w:type="paragraph" w:styleId="TOCHeading">
    <w:name w:val="TOC Heading"/>
    <w:basedOn w:val="1"/>
    <w:next w:val="Normal"/>
    <w:uiPriority w:val="39"/>
    <w:unhideWhenUsed/>
    <w:qFormat/>
    <w:rsid w:val="00b17dfe"/>
    <w:pPr>
      <w:keepLines/>
      <w:spacing w:before="480" w:after="0"/>
    </w:pPr>
    <w:rPr>
      <w:color w:val="365F91"/>
      <w:kern w:val="0"/>
      <w:sz w:val="28"/>
      <w:szCs w:val="28"/>
    </w:rPr>
  </w:style>
  <w:style w:type="paragraph" w:styleId="12">
    <w:name w:val="TOC 1"/>
    <w:basedOn w:val="Normal"/>
    <w:next w:val="Normal"/>
    <w:autoRedefine/>
    <w:uiPriority w:val="39"/>
    <w:unhideWhenUsed/>
    <w:qFormat/>
    <w:rsid w:val="00870265"/>
    <w:pPr>
      <w:tabs>
        <w:tab w:val="clear" w:pos="708"/>
        <w:tab w:val="left" w:pos="440" w:leader="none"/>
        <w:tab w:val="right" w:pos="9498" w:leader="dot"/>
      </w:tabs>
      <w:spacing w:lineRule="auto" w:line="240" w:before="120" w:after="120"/>
      <w:jc w:val="both"/>
    </w:pPr>
    <w:rPr>
      <w:rFonts w:eastAsia="Times New Roman"/>
      <w:b/>
      <w:sz w:val="24"/>
      <w:szCs w:val="24"/>
      <w:lang w:eastAsia="ru-RU"/>
    </w:rPr>
  </w:style>
  <w:style w:type="paragraph" w:styleId="23">
    <w:name w:val="TOC 2"/>
    <w:basedOn w:val="Normal"/>
    <w:next w:val="Normal"/>
    <w:autoRedefine/>
    <w:uiPriority w:val="39"/>
    <w:unhideWhenUsed/>
    <w:qFormat/>
    <w:rsid w:val="00b17dfe"/>
    <w:pPr>
      <w:tabs>
        <w:tab w:val="clear" w:pos="708"/>
        <w:tab w:val="left" w:pos="851" w:leader="none"/>
        <w:tab w:val="right" w:pos="9498" w:leader="dot"/>
      </w:tabs>
      <w:spacing w:lineRule="auto" w:line="240" w:before="0" w:after="0"/>
      <w:ind w:left="426" w:hanging="0"/>
    </w:pPr>
    <w:rPr>
      <w:rFonts w:eastAsia="Times New Roman"/>
      <w:sz w:val="24"/>
      <w:szCs w:val="24"/>
      <w:lang w:eastAsia="ru-RU"/>
    </w:rPr>
  </w:style>
  <w:style w:type="paragraph" w:styleId="32">
    <w:name w:val="TOC 3"/>
    <w:basedOn w:val="Normal"/>
    <w:next w:val="Normal"/>
    <w:autoRedefine/>
    <w:uiPriority w:val="39"/>
    <w:unhideWhenUsed/>
    <w:rsid w:val="00b17dfe"/>
    <w:pPr>
      <w:tabs>
        <w:tab w:val="clear" w:pos="708"/>
        <w:tab w:val="left" w:pos="426" w:leader="none"/>
        <w:tab w:val="left" w:pos="1320" w:leader="none"/>
        <w:tab w:val="right" w:pos="9486" w:leader="dot"/>
      </w:tabs>
      <w:spacing w:lineRule="auto" w:line="360" w:before="0" w:after="100"/>
      <w:ind w:left="426" w:hanging="0"/>
    </w:pPr>
    <w:rPr>
      <w:rFonts w:eastAsia="Times New Roman"/>
      <w:i/>
      <w:sz w:val="24"/>
      <w:szCs w:val="24"/>
      <w:lang w:eastAsia="ru-RU"/>
    </w:rPr>
  </w:style>
  <w:style w:type="paragraph" w:styleId="NoSpacing">
    <w:name w:val="No Spacing"/>
    <w:link w:val="af1"/>
    <w:uiPriority w:val="1"/>
    <w:qFormat/>
    <w:rsid w:val="00f46c27"/>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2b58f1"/>
    <w:pPr>
      <w:spacing w:lineRule="auto" w:line="240" w:before="0" w:after="0"/>
      <w:ind w:left="720" w:hanging="0"/>
      <w:contextualSpacing/>
    </w:pPr>
    <w:rPr>
      <w:rFonts w:eastAsia="Times New Roman"/>
      <w:sz w:val="24"/>
      <w:szCs w:val="24"/>
      <w:lang w:eastAsia="ru-RU"/>
    </w:rPr>
  </w:style>
  <w:style w:type="paragraph" w:styleId="S1" w:customStyle="1">
    <w:name w:val="S_Обычный"/>
    <w:basedOn w:val="Normal"/>
    <w:link w:val="S0"/>
    <w:qFormat/>
    <w:rsid w:val="00b109a0"/>
    <w:pPr>
      <w:spacing w:lineRule="auto" w:line="360" w:before="0" w:after="0"/>
      <w:ind w:firstLine="737"/>
      <w:jc w:val="both"/>
    </w:pPr>
    <w:rPr>
      <w:rFonts w:eastAsia="Times New Roman"/>
      <w:sz w:val="24"/>
      <w:szCs w:val="24"/>
      <w:lang w:eastAsia="ar-SA"/>
    </w:rPr>
  </w:style>
  <w:style w:type="paragraph" w:styleId="Annotationtext">
    <w:name w:val="annotation text"/>
    <w:basedOn w:val="Normal"/>
    <w:link w:val="af7"/>
    <w:uiPriority w:val="99"/>
    <w:semiHidden/>
    <w:unhideWhenUsed/>
    <w:qFormat/>
    <w:rsid w:val="00046b3c"/>
    <w:pPr>
      <w:spacing w:lineRule="auto" w:line="240"/>
    </w:pPr>
    <w:rPr>
      <w:sz w:val="20"/>
      <w:szCs w:val="20"/>
    </w:rPr>
  </w:style>
  <w:style w:type="paragraph" w:styleId="Annotationsubject">
    <w:name w:val="annotation subject"/>
    <w:basedOn w:val="Annotationtext"/>
    <w:next w:val="Annotationtext"/>
    <w:link w:val="af9"/>
    <w:uiPriority w:val="99"/>
    <w:semiHidden/>
    <w:unhideWhenUsed/>
    <w:qFormat/>
    <w:rsid w:val="00046b3c"/>
    <w:pPr/>
    <w:rPr>
      <w:b/>
      <w:bCs/>
    </w:rPr>
  </w:style>
  <w:style w:type="paragraph" w:styleId="Style33">
    <w:name w:val="Footnote Text"/>
    <w:basedOn w:val="Normal"/>
    <w:link w:val="afb"/>
    <w:uiPriority w:val="99"/>
    <w:unhideWhenUsed/>
    <w:rsid w:val="00a84c8c"/>
    <w:pPr/>
    <w:rPr>
      <w:sz w:val="20"/>
      <w:szCs w:val="20"/>
    </w:rPr>
  </w:style>
  <w:style w:type="paragraph" w:styleId="211" w:customStyle="1">
    <w:name w:val="Знак2 Знак Знак Знак Знак Знак Знак1"/>
    <w:basedOn w:val="Normal"/>
    <w:qFormat/>
    <w:rsid w:val="0005691e"/>
    <w:pPr>
      <w:spacing w:lineRule="exact" w:line="240" w:before="0" w:after="160"/>
    </w:pPr>
    <w:rPr>
      <w:rFonts w:ascii="Verdana" w:hAnsi="Verdana" w:eastAsia="Times New Roman"/>
      <w:sz w:val="20"/>
      <w:szCs w:val="20"/>
      <w:lang w:val="en-US"/>
    </w:rPr>
  </w:style>
  <w:style w:type="paragraph" w:styleId="Style34">
    <w:name w:val="Endnote Text"/>
    <w:basedOn w:val="Normal"/>
    <w:link w:val="afe"/>
    <w:uiPriority w:val="99"/>
    <w:semiHidden/>
    <w:unhideWhenUsed/>
    <w:rsid w:val="00934ece"/>
    <w:pPr/>
    <w:rPr>
      <w:sz w:val="20"/>
      <w:szCs w:val="20"/>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8">
    <w:name w:val="Table Grid"/>
    <w:basedOn w:val="a2"/>
    <w:uiPriority w:val="59"/>
    <w:rsid w:val="00c106e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2">
    <w:name w:val="Сетка таблицы светлая1"/>
    <w:basedOn w:val="a2"/>
    <w:uiPriority w:val="40"/>
    <w:rsid w:val="0005691e"/>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25">
    <w:name w:val="List Table 2 Accent 5"/>
    <w:basedOn w:val="a2"/>
    <w:uiPriority w:val="47"/>
    <w:rsid w:val="00031a70"/>
    <w:tblPr>
      <w:tblStyleRowBandSize w:val="1"/>
      <w:tblStyleColBandSize w:val="1"/>
      <w:tblBorders>
        <w:top w:val="single" w:color="92CDDC" w:themeColor="accent5" w:themeTint="99" w:sz="4" w:space="0"/>
        <w:bottom w:val="single" w:color="92CDDC" w:themeColor="accent5" w:themeTint="99" w:sz="4" w:space="0"/>
        <w:insideH w:val="single" w:color="92CDDC" w:themeColor="accent5"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5">
    <w:name w:val="List Table 4 Accent 5"/>
    <w:basedOn w:val="a2"/>
    <w:uiPriority w:val="49"/>
    <w:rsid w:val="00031a70"/>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tblBorders>
    </w:tblPr>
    <w:tblStylePr w:type="firstRow">
      <w:rPr>
        <w:b/>
        <w:bCs/>
        <w:color w:val="FFFFFF" w:themeColor="background1"/>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tcBorders>
        <w:shd w:val="clear" w:color="auto" w:fill="4BACC6" w:themeFill="accent5"/>
      </w:tcPr>
    </w:tblStylePr>
    <w:tblStylePr w:type="lastRow">
      <w:rPr>
        <w:b/>
        <w:bCs/>
      </w:rPr>
      <w:tblPr/>
      <w:tcPr>
        <w:tcBorders>
          <w:top w:val="doub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1">
    <w:name w:val="List Table 4 Accent 1"/>
    <w:basedOn w:val="a2"/>
    <w:uiPriority w:val="49"/>
    <w:rsid w:val="00031a7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5">
    <w:name w:val="Grid Table 6 Colorful Accent 5"/>
    <w:basedOn w:val="a2"/>
    <w:uiPriority w:val="51"/>
    <w:rsid w:val="00031a70"/>
    <w:rPr>
      <w:color w:val="31849B" w:themeColor="accent5" w:themeShade="bf"/>
    </w:rPr>
    <w:tblPr>
      <w:tblStyleRowBandSize w:val="1"/>
      <w:tblStyleColBandSize w:val="1"/>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blPr/>
      <w:tcPr>
        <w:tcBorders>
          <w:bottom w:val="single" w:color="92CDDC" w:themeColor="accent5" w:sz="12" w:space="0"/>
        </w:tcBorders>
      </w:tcPr>
    </w:tblStylePr>
    <w:tblStylePr w:type="lastRow">
      <w:rPr>
        <w:b/>
        <w:bCs/>
      </w:rPr>
      <w:tblPr/>
      <w:tcPr>
        <w:tcBorders>
          <w:top w:val="double" w:color="92CDDC" w:themeColor="accent5" w:sz="4" w:space="0"/>
        </w:tcBorders>
      </w:tcPr>
    </w:tblStylePr>
    <w:tblStylePr w:type="firstCol">
      <w:rPr>
        <w:b/>
        <w:bCs/>
      </w:rPr>
      <w:tblPr/>
    </w:tblStylePr>
    <w:tblStylePr w:type="lastCol">
      <w:rPr>
        <w:b/>
        <w:bCs/>
      </w:rPr>
      <w:tbl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DB6D2-EA8D-448B-8E7A-FAA78EF2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Application>LibreOffice/7.0.1.2$Linux_X86_64 LibreOffice_project/00$Build-2</Application>
  <Pages>2</Pages>
  <Words>445</Words>
  <Characters>3439</Characters>
  <CharactersWithSpaces>3877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2019-07-05T07:23:00Z</dcterms:created>
  <dc:creator>Тельманова Т.П.</dc:creator>
  <dc:description/>
  <dc:language>ru-RU</dc:language>
  <cp:lastModifiedBy/>
  <cp:lastPrinted>2020-07-15T11:17:00Z</cp:lastPrinted>
  <dcterms:modified xsi:type="dcterms:W3CDTF">2021-07-20T12:44:33Z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