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96" w:rsidRDefault="00730196" w:rsidP="00CC3445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color w:val="26282F"/>
          <w:sz w:val="28"/>
          <w:szCs w:val="28"/>
        </w:rPr>
      </w:pPr>
      <w:bookmarkStart w:id="0" w:name="_GoBack"/>
      <w:bookmarkEnd w:id="0"/>
      <w:r>
        <w:rPr>
          <w:bCs/>
          <w:color w:val="26282F"/>
          <w:sz w:val="28"/>
          <w:szCs w:val="28"/>
        </w:rPr>
        <w:t>Приложение к письму</w:t>
      </w:r>
    </w:p>
    <w:p w:rsidR="00730196" w:rsidRPr="00730196" w:rsidRDefault="00730196" w:rsidP="00CC3445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от ____________ №_____</w:t>
      </w:r>
    </w:p>
    <w:p w:rsidR="00730196" w:rsidRDefault="00730196" w:rsidP="00CC3445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</w:p>
    <w:p w:rsidR="00466EB6" w:rsidRDefault="00327F4E" w:rsidP="00CC3445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ПРОЕКТ</w:t>
      </w:r>
    </w:p>
    <w:p w:rsidR="00CB66FB" w:rsidRPr="00C964AA" w:rsidRDefault="00CB66FB" w:rsidP="00CB66F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"/>
      <w:r w:rsidRPr="00C964AA">
        <w:rPr>
          <w:b/>
          <w:bCs/>
          <w:color w:val="26282F"/>
          <w:sz w:val="28"/>
          <w:szCs w:val="28"/>
        </w:rPr>
        <w:t xml:space="preserve">Постановление администрации </w:t>
      </w:r>
    </w:p>
    <w:p w:rsidR="00CB66FB" w:rsidRPr="00C964AA" w:rsidRDefault="00CB66FB" w:rsidP="00CB66FB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8"/>
          <w:szCs w:val="28"/>
        </w:rPr>
      </w:pPr>
    </w:p>
    <w:p w:rsidR="00CB66FB" w:rsidRPr="00C964AA" w:rsidRDefault="00CB66FB" w:rsidP="00CB66FB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о</w:t>
      </w:r>
      <w:r w:rsidRPr="00C964AA">
        <w:rPr>
          <w:b/>
          <w:bCs/>
          <w:color w:val="26282F"/>
          <w:sz w:val="28"/>
          <w:szCs w:val="28"/>
        </w:rPr>
        <w:t>т _______________</w:t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</w:r>
      <w:r w:rsidRPr="00C964AA">
        <w:rPr>
          <w:b/>
          <w:bCs/>
          <w:color w:val="26282F"/>
          <w:sz w:val="28"/>
          <w:szCs w:val="28"/>
        </w:rPr>
        <w:tab/>
        <w:t>№________</w:t>
      </w:r>
    </w:p>
    <w:p w:rsidR="00CB66FB" w:rsidRPr="00C964AA" w:rsidRDefault="00CB66FB" w:rsidP="00CB66FB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26282F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B66FB" w:rsidRPr="00C53199" w:rsidTr="00F65289">
        <w:tc>
          <w:tcPr>
            <w:tcW w:w="4786" w:type="dxa"/>
          </w:tcPr>
          <w:p w:rsidR="00CB66FB" w:rsidRPr="00C53199" w:rsidRDefault="00CB66FB" w:rsidP="00F65289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26282F"/>
              </w:rPr>
            </w:pPr>
            <w:r w:rsidRPr="00C53199">
              <w:rPr>
                <w:bCs/>
                <w:color w:val="26282F"/>
              </w:rPr>
              <w:t>О внесении изменений в постановление а</w:t>
            </w:r>
            <w:r w:rsidRPr="00C53199">
              <w:rPr>
                <w:bCs/>
                <w:color w:val="26282F"/>
              </w:rPr>
              <w:t>д</w:t>
            </w:r>
            <w:r w:rsidRPr="00C53199">
              <w:rPr>
                <w:bCs/>
                <w:color w:val="26282F"/>
              </w:rPr>
              <w:t>министрации города от 10.11.2014 №2251 «Об определении случаев осуществления</w:t>
            </w:r>
            <w:r>
              <w:rPr>
                <w:bCs/>
                <w:color w:val="26282F"/>
              </w:rPr>
              <w:t xml:space="preserve"> </w:t>
            </w:r>
            <w:r w:rsidRPr="00C53199">
              <w:rPr>
                <w:bCs/>
                <w:color w:val="26282F"/>
              </w:rPr>
              <w:t xml:space="preserve">банковского сопровождения контрактов» </w:t>
            </w:r>
            <w:r>
              <w:rPr>
                <w:bCs/>
                <w:color w:val="26282F"/>
              </w:rPr>
              <w:t xml:space="preserve">        </w:t>
            </w:r>
            <w:r w:rsidRPr="00C53199">
              <w:rPr>
                <w:bCs/>
                <w:color w:val="26282F"/>
              </w:rPr>
              <w:t xml:space="preserve">(с изменением от 28.12.2016 №1930) </w:t>
            </w:r>
          </w:p>
        </w:tc>
      </w:tr>
    </w:tbl>
    <w:p w:rsidR="00CB66FB" w:rsidRPr="00C964AA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4AA">
        <w:rPr>
          <w:sz w:val="28"/>
          <w:szCs w:val="28"/>
        </w:rPr>
        <w:t> 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4AA">
        <w:rPr>
          <w:sz w:val="28"/>
          <w:szCs w:val="28"/>
        </w:rPr>
        <w:t xml:space="preserve">В соответствии с </w:t>
      </w:r>
      <w:hyperlink r:id="rId7" w:history="1">
        <w:r w:rsidRPr="00C964AA">
          <w:rPr>
            <w:color w:val="106BBE"/>
            <w:sz w:val="28"/>
            <w:szCs w:val="28"/>
          </w:rPr>
          <w:t>частью 2 статьи 35</w:t>
        </w:r>
      </w:hyperlink>
      <w:r w:rsidRPr="00C964AA">
        <w:rPr>
          <w:sz w:val="28"/>
          <w:szCs w:val="28"/>
        </w:rPr>
        <w:t xml:space="preserve"> Федерального закона от 05.04.2013 N44-ФЗ "О контрактной системе в сфере закупок товаров, работ, услуг </w:t>
      </w:r>
      <w:r>
        <w:rPr>
          <w:sz w:val="28"/>
          <w:szCs w:val="28"/>
        </w:rPr>
        <w:t xml:space="preserve">             </w:t>
      </w:r>
      <w:r w:rsidRPr="00C964AA">
        <w:rPr>
          <w:sz w:val="28"/>
          <w:szCs w:val="28"/>
        </w:rPr>
        <w:t xml:space="preserve">для обеспечения государственных и муниципальных нужд", постановлением Правительства Российской Федерации от 20.09.2014 №963 </w:t>
      </w:r>
      <w:r>
        <w:rPr>
          <w:sz w:val="28"/>
          <w:szCs w:val="28"/>
        </w:rPr>
        <w:t xml:space="preserve">                                      </w:t>
      </w:r>
      <w:r w:rsidRPr="00C964AA">
        <w:rPr>
          <w:sz w:val="28"/>
          <w:szCs w:val="28"/>
        </w:rPr>
        <w:t>«Об осуществлении банковского сопровождения контрактов»</w:t>
      </w:r>
      <w:r>
        <w:rPr>
          <w:sz w:val="28"/>
          <w:szCs w:val="28"/>
        </w:rPr>
        <w:t>: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bCs/>
          <w:color w:val="26282F"/>
          <w:sz w:val="28"/>
          <w:szCs w:val="28"/>
        </w:rPr>
      </w:pPr>
      <w:r>
        <w:rPr>
          <w:sz w:val="28"/>
          <w:szCs w:val="28"/>
        </w:rPr>
        <w:t xml:space="preserve">1. Внести изменения </w:t>
      </w:r>
      <w:r w:rsidRPr="0083230D">
        <w:rPr>
          <w:sz w:val="28"/>
          <w:szCs w:val="28"/>
        </w:rPr>
        <w:t xml:space="preserve">в постановление администрации города </w:t>
      </w:r>
      <w:r>
        <w:rPr>
          <w:sz w:val="28"/>
          <w:szCs w:val="28"/>
        </w:rPr>
        <w:t xml:space="preserve">                      </w:t>
      </w:r>
      <w:r w:rsidRPr="0083230D">
        <w:rPr>
          <w:bCs/>
          <w:color w:val="26282F"/>
          <w:sz w:val="28"/>
          <w:szCs w:val="28"/>
        </w:rPr>
        <w:t>от 10.11.2014 №2251 «Об определении случаев осуществления банковского с</w:t>
      </w:r>
      <w:r w:rsidRPr="0083230D">
        <w:rPr>
          <w:bCs/>
          <w:color w:val="26282F"/>
          <w:sz w:val="28"/>
          <w:szCs w:val="28"/>
        </w:rPr>
        <w:t>о</w:t>
      </w:r>
      <w:r w:rsidRPr="0083230D">
        <w:rPr>
          <w:bCs/>
          <w:color w:val="26282F"/>
          <w:sz w:val="28"/>
          <w:szCs w:val="28"/>
        </w:rPr>
        <w:t>провождения контрактов» (с изменением от 28.12.2016 №1930)</w:t>
      </w:r>
      <w:r>
        <w:rPr>
          <w:bCs/>
          <w:color w:val="26282F"/>
          <w:sz w:val="28"/>
          <w:szCs w:val="28"/>
        </w:rPr>
        <w:t>: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1.1. Изложить пункт 1 в следующей редакции: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64AA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Определить, что б</w:t>
      </w:r>
      <w:r w:rsidRPr="00C964AA">
        <w:rPr>
          <w:sz w:val="28"/>
          <w:szCs w:val="28"/>
        </w:rPr>
        <w:t>анковско</w:t>
      </w:r>
      <w:r>
        <w:rPr>
          <w:sz w:val="28"/>
          <w:szCs w:val="28"/>
        </w:rPr>
        <w:t>е</w:t>
      </w:r>
      <w:r w:rsidRPr="00C964AA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е</w:t>
      </w:r>
      <w:r w:rsidRPr="00C964AA">
        <w:rPr>
          <w:sz w:val="28"/>
          <w:szCs w:val="28"/>
        </w:rPr>
        <w:t xml:space="preserve"> контрактов</w:t>
      </w:r>
      <w:r w:rsidRPr="00E94A77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ется: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проведения банком, привлечённым поставщиком (подрядчиком, исполнителем), мониторинга расчетов в рамках исполнения контракта,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дующих случаях: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начальная  (максимальная) цена контракта на поставку товаров, выполнение работ, оказание услуг (цена контракта, заключаемого                                    с единственным поставщиком (подрядчиком, исполнителем)) составляет              200 миллионов рублей и более (за исключением случаев заключения контра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тов, предметом которых является оказание финансовых услуг, а также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 работ по строительству (реконструкции) объектов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тельства);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начальная (максимальная) цена контракта на выполнение работ по строительству (реконструкции) объектов капитального строительства (цена контракта, заключаемого с единственным подрядчиком) составляет 50 милли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нов рублей и более;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в виде расширенного банковского сопровождения, предусматривающ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оказание банком, привлеченным поставщиком (подрядчиком, исполнит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лем), услуг, позволяющих обеспечить соответствие принимаемых товаров,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 (их результатов), услуг условиям контракта,  в случае, если начальная  </w:t>
      </w:r>
      <w:r>
        <w:rPr>
          <w:sz w:val="28"/>
          <w:szCs w:val="28"/>
        </w:rPr>
        <w:lastRenderedPageBreak/>
        <w:t>(максимальная) цена контракта на поставку товаров, выполнение работ,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услуг (цена контракта, заключаемого  с единственным поставщиком (по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рядчиком, исполнителем)) составляет  5 миллиардов рублей и более (за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чением случаев заключения контрактов, предметом которых</w:t>
      </w:r>
      <w:proofErr w:type="gramEnd"/>
      <w:r>
        <w:rPr>
          <w:sz w:val="28"/>
          <w:szCs w:val="28"/>
        </w:rPr>
        <w:t xml:space="preserve"> является оказание финансовых услуг)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Абзац третий пункта 5 изложить в следующей редакции: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>, начальника управления по взаимодействию со средствами массовой информации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С.В. Селиванову по курируемым муниципальным унитарным предприятиям</w:t>
      </w:r>
      <w:proofErr w:type="gramStart"/>
      <w:r>
        <w:rPr>
          <w:sz w:val="28"/>
          <w:szCs w:val="28"/>
        </w:rPr>
        <w:t>.»</w:t>
      </w:r>
      <w:proofErr w:type="gramEnd"/>
    </w:p>
    <w:p w:rsidR="00CB66FB" w:rsidRDefault="00CB66FB" w:rsidP="00CB66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66FB" w:rsidRDefault="00CB66FB" w:rsidP="00CB66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постановления.</w:t>
      </w:r>
    </w:p>
    <w:p w:rsidR="00CB66FB" w:rsidRDefault="00CB66FB" w:rsidP="00CB66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66FB" w:rsidRDefault="00CB66FB" w:rsidP="00CB66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B66FB" w:rsidRDefault="00CB66FB" w:rsidP="00CB66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6FB" w:rsidRDefault="00CB66FB" w:rsidP="00CB66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6FB" w:rsidRDefault="00CB66FB" w:rsidP="00CB66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6FB" w:rsidRDefault="00CB66FB" w:rsidP="00CB66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6FB" w:rsidRDefault="00CB66FB" w:rsidP="00CB66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В.В. Тихонов</w:t>
      </w:r>
    </w:p>
    <w:p w:rsidR="00CB66FB" w:rsidRDefault="00CB66FB" w:rsidP="00CB66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0196" w:rsidRDefault="00730196" w:rsidP="007301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0196" w:rsidRDefault="00730196" w:rsidP="007301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1"/>
    <w:p w:rsidR="00730196" w:rsidRDefault="00730196" w:rsidP="007301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F4E" w:rsidRDefault="00327F4E" w:rsidP="00327F4E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</w:p>
    <w:sectPr w:rsidR="00327F4E" w:rsidSect="00CC3445">
      <w:pgSz w:w="11905" w:h="16838"/>
      <w:pgMar w:top="1134" w:right="567" w:bottom="680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120EF"/>
    <w:rsid w:val="00022250"/>
    <w:rsid w:val="00040BA9"/>
    <w:rsid w:val="0005710C"/>
    <w:rsid w:val="00064FBE"/>
    <w:rsid w:val="00086D17"/>
    <w:rsid w:val="000A7052"/>
    <w:rsid w:val="000D7186"/>
    <w:rsid w:val="000E5F61"/>
    <w:rsid w:val="000E75AE"/>
    <w:rsid w:val="000F5490"/>
    <w:rsid w:val="001070CA"/>
    <w:rsid w:val="00113F0A"/>
    <w:rsid w:val="00117E06"/>
    <w:rsid w:val="001469A7"/>
    <w:rsid w:val="00195868"/>
    <w:rsid w:val="001A6EF6"/>
    <w:rsid w:val="001A7CCC"/>
    <w:rsid w:val="001B210A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27F4E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96639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0F13"/>
    <w:rsid w:val="005F57D5"/>
    <w:rsid w:val="006338C8"/>
    <w:rsid w:val="006432FE"/>
    <w:rsid w:val="00667E5D"/>
    <w:rsid w:val="006771A6"/>
    <w:rsid w:val="00690D0B"/>
    <w:rsid w:val="006933FF"/>
    <w:rsid w:val="006B4F9B"/>
    <w:rsid w:val="006D1937"/>
    <w:rsid w:val="006E59D1"/>
    <w:rsid w:val="00703E44"/>
    <w:rsid w:val="007203BE"/>
    <w:rsid w:val="00725713"/>
    <w:rsid w:val="00730196"/>
    <w:rsid w:val="007303EB"/>
    <w:rsid w:val="0074280F"/>
    <w:rsid w:val="007430D6"/>
    <w:rsid w:val="00752A0D"/>
    <w:rsid w:val="00776924"/>
    <w:rsid w:val="00781BF9"/>
    <w:rsid w:val="0078470F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A27FC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5655"/>
    <w:rsid w:val="00C57261"/>
    <w:rsid w:val="00C6655B"/>
    <w:rsid w:val="00C677C6"/>
    <w:rsid w:val="00C75FF0"/>
    <w:rsid w:val="00CA47C9"/>
    <w:rsid w:val="00CB0F7D"/>
    <w:rsid w:val="00CB66FB"/>
    <w:rsid w:val="00CC3445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DF4E01"/>
    <w:rsid w:val="00DF6F2B"/>
    <w:rsid w:val="00E13BDE"/>
    <w:rsid w:val="00E33927"/>
    <w:rsid w:val="00E37C92"/>
    <w:rsid w:val="00E43796"/>
    <w:rsid w:val="00E54126"/>
    <w:rsid w:val="00E74C0C"/>
    <w:rsid w:val="00E94380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253464.3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080-B536-4304-91DF-92BA67CF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Кузнецов Богдан Евгеньевич</cp:lastModifiedBy>
  <cp:revision>3</cp:revision>
  <cp:lastPrinted>2016-04-27T09:53:00Z</cp:lastPrinted>
  <dcterms:created xsi:type="dcterms:W3CDTF">2017-12-29T09:28:00Z</dcterms:created>
  <dcterms:modified xsi:type="dcterms:W3CDTF">2017-12-29T09:29:00Z</dcterms:modified>
</cp:coreProperties>
</file>