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14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Отчет об итогах реализации инициативного проекта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14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ind w:left="0" w:right="0" w:firstLine="0"/>
        <w:jc w:val="both"/>
        <w:spacing w:after="14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Наименование инициативного проекта: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Веревочный полигон «Нити-Сити» (далее — Проект).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Место реализации: город Нижневартовск, 4 мкр., улица Ленина, 9А,  на территории МАУДО г. Нижневартовска «Центр детского творчества».</w:t>
      </w:r>
      <w:r/>
    </w:p>
    <w:p>
      <w:pPr>
        <w:ind w:left="0" w:right="0" w:firstLine="0"/>
        <w:jc w:val="both"/>
        <w:spacing w:after="14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Реализация Проекта осуществлена в соответствии с Положением о реализации инициативных проектов в городе Нижневартовске, утвержденным решением Думы города от 26.02.2021 №717.</w:t>
      </w:r>
      <w:r/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</w:t>
        <w:tab/>
        <w:t xml:space="preserve">Дата начала и окончания реализации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Проекта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c 12.08.2025 по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21.11.2025</w:t>
      </w:r>
      <w:r>
        <w:rPr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(окончательный расчет по проекту)</w:t>
      </w:r>
      <w:r>
        <w:rPr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0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</w:t>
        <w:tab/>
        <w:t xml:space="preserve">Сведения о выполненных работах, оказанных услугах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:</w:t>
      </w:r>
      <w:r>
        <w:rPr>
          <w:highlight w:val="white"/>
        </w:rPr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рамках муниципального контракта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с подрядчиком ИП Ижболдин Никита Николаевич были выполнены следующие работы: установка современного и технически оснащенного </w:t>
      </w:r>
      <w:r>
        <w:rPr>
          <w:rFonts w:ascii="Times New Roman" w:hAnsi="Times New Roman" w:cs="Times New Roman"/>
          <w:sz w:val="28"/>
          <w:szCs w:val="28"/>
        </w:rPr>
        <w:t xml:space="preserve">веревочного полигона, камер видеонаблюдения, сборка и покраска подиума</w:t>
      </w:r>
      <w:r/>
    </w:p>
    <w:p>
      <w:pPr>
        <w:ind w:left="0" w:right="0" w:firstLine="0"/>
        <w:jc w:val="both"/>
        <w:spacing w:after="14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Сведения об имущественном и (или) трудовом участии физических и(или) юридических лиц, индивидуальных предпринимателей: </w:t>
      </w:r>
      <w:r/>
    </w:p>
    <w:p>
      <w:pPr>
        <w:ind w:left="0" w:right="0" w:firstLine="0"/>
        <w:jc w:val="both"/>
        <w:spacing w:after="14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Трудовое участие: произведена </w:t>
      </w:r>
      <w:r>
        <w:rPr>
          <w:rFonts w:ascii="Times New Roman" w:hAnsi="Times New Roman" w:cs="Times New Roman"/>
          <w:sz w:val="28"/>
          <w:szCs w:val="28"/>
        </w:rPr>
        <w:t xml:space="preserve">расчистка территории, натягивание веревок на полигоне, выравнивание площадки песком.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left="0" w:right="0" w:firstLine="0"/>
        <w:jc w:val="both"/>
        <w:spacing w:after="14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Имущественное участие: </w:t>
      </w:r>
      <w:r>
        <w:rPr>
          <w:rFonts w:ascii="Times New Roman" w:hAnsi="Times New Roman" w:cs="Times New Roman"/>
          <w:sz w:val="28"/>
          <w:szCs w:val="28"/>
        </w:rPr>
        <w:t xml:space="preserve">приобретены альпинистские карабины                       с закручивающейся муфтой овальной формы в количестве 2 штук, лопата для уборки снега в зимний период в количестве 1 штуки.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Сведения о финансировании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Проекта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tbl>
      <w:tblPr>
        <w:tblStyle w:val="813"/>
        <w:tblW w:w="9660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417"/>
        <w:gridCol w:w="1417"/>
        <w:gridCol w:w="1276"/>
        <w:gridCol w:w="1417"/>
        <w:gridCol w:w="1417"/>
        <w:gridCol w:w="1258"/>
        <w:gridCol w:w="1457"/>
      </w:tblGrid>
      <w:tr>
        <w:trPr>
          <w:trHeight w:val="477"/>
        </w:trPr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 xml:space="preserve">то</w:t>
            </w:r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имость проекта по Соглашению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3"/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pStyle w:val="812"/>
              <w:ind w:left="0" w:right="0" w:firstLine="0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в том числе</w:t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12"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Цена контракта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258" w:type="dxa"/>
            <w:vAlign w:val="center"/>
            <w:vMerge w:val="restart"/>
            <w:textDirection w:val="lrTb"/>
            <w:noWrap w:val="false"/>
          </w:tcPr>
          <w:p>
            <w:pPr>
              <w:pStyle w:val="812"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Экономия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57" w:type="dxa"/>
            <w:vAlign w:val="center"/>
            <w:vMerge w:val="restart"/>
            <w:textDirection w:val="lrTb"/>
            <w:noWrap w:val="false"/>
          </w:tcPr>
          <w:p>
            <w:pPr>
              <w:pStyle w:val="812"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0"/>
                <w:sz w:val="22"/>
                <w:szCs w:val="22"/>
              </w:rPr>
              <w:t xml:space="preserve">Причины экономии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895"/>
        </w:trPr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Style w:val="812"/>
              <w:ind w:left="0" w:right="0" w:firstLine="0"/>
              <w:jc w:val="left"/>
              <w:spacing w:before="0" w:after="0" w:line="240" w:lineRule="auto"/>
              <w:widowControl w:val="off"/>
            </w:pPr>
            <w:r>
              <w:rPr>
                <w:spacing w:val="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12"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Бюджет МО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12"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Окружной бюджет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12"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Соф-ние  (населения, юр.лиц, ИП)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Style w:val="812"/>
              <w:ind w:left="0" w:right="0" w:firstLine="0"/>
              <w:jc w:val="left"/>
              <w:spacing w:before="0" w:after="0" w:line="240" w:lineRule="auto"/>
              <w:widowControl w:val="off"/>
            </w:pPr>
            <w:r>
              <w:rPr>
                <w:spacing w:val="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258" w:type="dxa"/>
            <w:vAlign w:val="center"/>
            <w:vMerge w:val="continue"/>
            <w:textDirection w:val="lrTb"/>
            <w:noWrap w:val="false"/>
          </w:tcPr>
          <w:p>
            <w:pPr>
              <w:pStyle w:val="812"/>
              <w:ind w:left="0" w:right="0" w:firstLine="0"/>
              <w:jc w:val="left"/>
              <w:spacing w:before="0" w:after="0" w:line="240" w:lineRule="auto"/>
              <w:widowControl w:val="off"/>
            </w:pPr>
            <w:r>
              <w:rPr>
                <w:spacing w:val="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57" w:type="dxa"/>
            <w:vAlign w:val="center"/>
            <w:vMerge w:val="continue"/>
            <w:textDirection w:val="lrTb"/>
            <w:noWrap w:val="false"/>
          </w:tcPr>
          <w:p>
            <w:pPr>
              <w:pStyle w:val="812"/>
              <w:ind w:left="0" w:right="0" w:firstLine="0"/>
              <w:jc w:val="left"/>
              <w:spacing w:before="0" w:after="0" w:line="240" w:lineRule="auto"/>
              <w:widowControl w:val="off"/>
            </w:pPr>
            <w:r>
              <w:rPr>
                <w:spacing w:val="0"/>
                <w:sz w:val="20"/>
                <w:szCs w:val="20"/>
              </w:rPr>
            </w:r>
            <w:r/>
          </w:p>
        </w:tc>
      </w:tr>
      <w:tr>
        <w:trPr>
          <w:trHeight w:val="668"/>
        </w:trPr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3 476 022,65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871 922,65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2 433 000,00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171 100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2 709 700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W w:w="12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766 322,65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5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Экономия сложилась по результатам проведенных торгов 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link w:val="6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link w:val="666"/>
    <w:uiPriority w:val="35"/>
    <w:rPr>
      <w:b/>
      <w:bCs/>
      <w:color w:val="4f81bd" w:themeColor="accent1"/>
      <w:sz w:val="18"/>
      <w:szCs w:val="18"/>
    </w:rPr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  <w:style w:type="paragraph" w:styleId="818" w:customStyle="1">
    <w:name w:val="Body Text"/>
    <w:basedOn w:val="808"/>
    <w:uiPriority w:val="99"/>
    <w:semiHidden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19" w:customStyle="1">
    <w:name w:val="Содержимое таблицы"/>
    <w:basedOn w:val="808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cs="Times New Roman" w:asciiTheme="minorHAnsi" w:hAnsiTheme="minorHAnsi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17</cp:revision>
  <dcterms:modified xsi:type="dcterms:W3CDTF">2025-12-04T10:12:01Z</dcterms:modified>
</cp:coreProperties>
</file>