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CE" w:rsidRPr="00A40CCE" w:rsidRDefault="00A40CCE" w:rsidP="00A40CCE">
      <w:pPr>
        <w:spacing w:after="0" w:line="240" w:lineRule="auto"/>
        <w:jc w:val="center"/>
        <w:rPr>
          <w:rFonts w:ascii="Verdana" w:eastAsia="Times New Roman" w:hAnsi="Verdana" w:cs="Times New Roman"/>
          <w:color w:val="333333"/>
          <w:sz w:val="20"/>
          <w:szCs w:val="20"/>
          <w:lang w:eastAsia="ru-RU"/>
        </w:rPr>
      </w:pPr>
      <w:r w:rsidRPr="00A40CCE">
        <w:rPr>
          <w:rFonts w:ascii="Verdana" w:eastAsia="Times New Roman" w:hAnsi="Verdana" w:cs="Times New Roman"/>
          <w:noProof/>
          <w:color w:val="333333"/>
          <w:sz w:val="20"/>
          <w:szCs w:val="20"/>
          <w:lang w:eastAsia="ru-RU"/>
        </w:rPr>
        <w:drawing>
          <wp:inline distT="0" distB="0" distL="0" distR="0" wp14:anchorId="15425568" wp14:editId="2CD33F17">
            <wp:extent cx="304800" cy="419100"/>
            <wp:effectExtent l="0" t="0" r="0" b="0"/>
            <wp:docPr id="1" name="Рисунок 1" descr="http://oldversion.n-vartovsk.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version.n-vartovsk.ru/img/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p>
    <w:p w:rsidR="00A40CCE" w:rsidRPr="00A40CCE" w:rsidRDefault="00A40CCE" w:rsidP="00A40CCE">
      <w:pPr>
        <w:spacing w:before="24" w:after="24" w:line="240" w:lineRule="auto"/>
        <w:ind w:left="15"/>
        <w:jc w:val="center"/>
        <w:outlineLvl w:val="2"/>
        <w:rPr>
          <w:rFonts w:ascii="Verdana" w:eastAsia="Times New Roman" w:hAnsi="Verdana" w:cs="Times New Roman"/>
          <w:b/>
          <w:bCs/>
          <w:caps/>
          <w:color w:val="333333"/>
          <w:sz w:val="20"/>
          <w:szCs w:val="20"/>
          <w:lang w:eastAsia="ru-RU"/>
        </w:rPr>
      </w:pPr>
      <w:r w:rsidRPr="00A40CCE">
        <w:rPr>
          <w:rFonts w:ascii="Verdana" w:eastAsia="Times New Roman" w:hAnsi="Verdana" w:cs="Times New Roman"/>
          <w:b/>
          <w:bCs/>
          <w:caps/>
          <w:color w:val="333333"/>
          <w:sz w:val="20"/>
          <w:szCs w:val="20"/>
          <w:lang w:eastAsia="ru-RU"/>
        </w:rPr>
        <w:t>АДМИНИСТРАЦИЯ</w:t>
      </w:r>
      <w:r w:rsidRPr="00A40CCE">
        <w:rPr>
          <w:rFonts w:ascii="Verdana" w:eastAsia="Times New Roman" w:hAnsi="Verdana" w:cs="Times New Roman"/>
          <w:b/>
          <w:bCs/>
          <w:caps/>
          <w:color w:val="333333"/>
          <w:sz w:val="20"/>
          <w:szCs w:val="20"/>
          <w:lang w:eastAsia="ru-RU"/>
        </w:rPr>
        <w:br/>
        <w:t>ГОРОДА НИЖНЕВАРТОВСКА</w:t>
      </w:r>
      <w:r w:rsidRPr="00A40CCE">
        <w:rPr>
          <w:rFonts w:ascii="Verdana" w:eastAsia="Times New Roman" w:hAnsi="Verdana" w:cs="Times New Roman"/>
          <w:b/>
          <w:bCs/>
          <w:caps/>
          <w:color w:val="333333"/>
          <w:sz w:val="20"/>
          <w:szCs w:val="20"/>
          <w:lang w:eastAsia="ru-RU"/>
        </w:rPr>
        <w:br/>
        <w:t>ХАНТЫ-МАНСИЙСКИЙ АВТОНОМНЫЙ ОКРУГ-ЮГРА</w:t>
      </w:r>
    </w:p>
    <w:p w:rsidR="00A40CCE" w:rsidRPr="00A40CCE" w:rsidRDefault="00A40CCE" w:rsidP="00A40CCE">
      <w:pPr>
        <w:spacing w:after="0" w:line="240" w:lineRule="auto"/>
        <w:rPr>
          <w:rFonts w:ascii="Times New Roman" w:eastAsia="Times New Roman" w:hAnsi="Times New Roman" w:cs="Times New Roman"/>
          <w:sz w:val="24"/>
          <w:szCs w:val="24"/>
          <w:lang w:eastAsia="ru-RU"/>
        </w:rPr>
      </w:pPr>
      <w:r w:rsidRPr="00A40CCE">
        <w:rPr>
          <w:rFonts w:ascii="Verdana" w:eastAsia="Times New Roman" w:hAnsi="Verdana" w:cs="Times New Roman"/>
          <w:color w:val="333333"/>
          <w:sz w:val="20"/>
          <w:szCs w:val="20"/>
          <w:lang w:eastAsia="ru-RU"/>
        </w:rPr>
        <w:br/>
      </w:r>
      <w:r w:rsidRPr="00A40CCE">
        <w:rPr>
          <w:rFonts w:ascii="Verdana" w:eastAsia="Times New Roman" w:hAnsi="Verdana" w:cs="Times New Roman"/>
          <w:color w:val="333333"/>
          <w:sz w:val="20"/>
          <w:szCs w:val="20"/>
          <w:lang w:eastAsia="ru-RU"/>
        </w:rPr>
        <w:br/>
      </w:r>
      <w:r w:rsidRPr="00A40CCE">
        <w:rPr>
          <w:rFonts w:ascii="Verdana" w:eastAsia="Times New Roman" w:hAnsi="Verdana" w:cs="Times New Roman"/>
          <w:color w:val="333333"/>
          <w:sz w:val="20"/>
          <w:szCs w:val="20"/>
          <w:lang w:eastAsia="ru-RU"/>
        </w:rPr>
        <w:br/>
      </w:r>
    </w:p>
    <w:tbl>
      <w:tblPr>
        <w:tblW w:w="3492" w:type="dxa"/>
        <w:tblCellSpacing w:w="0" w:type="dxa"/>
        <w:tblCellMar>
          <w:top w:w="15" w:type="dxa"/>
          <w:left w:w="15" w:type="dxa"/>
          <w:bottom w:w="15" w:type="dxa"/>
          <w:right w:w="15" w:type="dxa"/>
        </w:tblCellMar>
        <w:tblLook w:val="04A0" w:firstRow="1" w:lastRow="0" w:firstColumn="1" w:lastColumn="0" w:noHBand="0" w:noVBand="1"/>
      </w:tblPr>
      <w:tblGrid>
        <w:gridCol w:w="3492"/>
      </w:tblGrid>
      <w:tr w:rsidR="00A40CCE" w:rsidRPr="00A40CCE" w:rsidTr="00A40CCE">
        <w:trPr>
          <w:tblCellSpacing w:w="0" w:type="dxa"/>
        </w:trPr>
        <w:tc>
          <w:tcPr>
            <w:tcW w:w="3000" w:type="dxa"/>
            <w:vAlign w:val="center"/>
            <w:hideMark/>
          </w:tcPr>
          <w:p w:rsidR="00A40CCE" w:rsidRPr="00A40CCE" w:rsidRDefault="00A40CCE" w:rsidP="00A40CCE">
            <w:pPr>
              <w:spacing w:after="0" w:line="240" w:lineRule="auto"/>
              <w:jc w:val="both"/>
              <w:divId w:val="906305503"/>
              <w:rPr>
                <w:rFonts w:ascii="Verdana" w:eastAsia="Times New Roman" w:hAnsi="Verdana" w:cs="Times New Roman"/>
                <w:color w:val="333333"/>
                <w:sz w:val="20"/>
                <w:szCs w:val="20"/>
                <w:lang w:eastAsia="ru-RU"/>
              </w:rPr>
            </w:pPr>
            <w:r w:rsidRPr="00A40CCE">
              <w:rPr>
                <w:rFonts w:ascii="Verdana" w:eastAsia="Times New Roman" w:hAnsi="Verdana" w:cs="Times New Roman"/>
                <w:color w:val="333333"/>
                <w:sz w:val="20"/>
                <w:szCs w:val="20"/>
                <w:lang w:eastAsia="ru-RU"/>
              </w:rPr>
              <w:br/>
            </w:r>
            <w:r w:rsidRPr="00A40CCE">
              <w:rPr>
                <w:rFonts w:ascii="Verdana" w:eastAsia="Times New Roman" w:hAnsi="Verdana" w:cs="Times New Roman"/>
                <w:color w:val="333333"/>
                <w:sz w:val="20"/>
                <w:szCs w:val="20"/>
                <w:lang w:eastAsia="ru-RU"/>
              </w:rPr>
              <w:br/>
            </w:r>
            <w:r w:rsidRPr="00A40CCE">
              <w:rPr>
                <w:rFonts w:ascii="Verdana" w:eastAsia="Times New Roman" w:hAnsi="Verdana" w:cs="Times New Roman"/>
                <w:color w:val="333333"/>
                <w:sz w:val="20"/>
                <w:szCs w:val="20"/>
                <w:lang w:eastAsia="ru-RU"/>
              </w:rPr>
              <w:br/>
            </w:r>
            <w:r w:rsidRPr="00A40CCE">
              <w:rPr>
                <w:rFonts w:ascii="Verdana" w:eastAsia="Times New Roman" w:hAnsi="Verdana" w:cs="Times New Roman"/>
                <w:color w:val="333333"/>
                <w:sz w:val="20"/>
                <w:szCs w:val="20"/>
                <w:lang w:eastAsia="ru-RU"/>
              </w:rPr>
              <w:br/>
            </w:r>
            <w:r w:rsidRPr="00A40CCE">
              <w:rPr>
                <w:rFonts w:ascii="Verdana" w:eastAsia="Times New Roman" w:hAnsi="Verdana" w:cs="Times New Roman"/>
                <w:color w:val="333333"/>
                <w:sz w:val="20"/>
                <w:szCs w:val="20"/>
                <w:lang w:eastAsia="ru-RU"/>
              </w:rPr>
              <w:br/>
            </w:r>
            <w:r w:rsidRPr="00A40CCE">
              <w:rPr>
                <w:rFonts w:ascii="Verdana" w:eastAsia="Times New Roman" w:hAnsi="Verdana" w:cs="Times New Roman"/>
                <w:b/>
                <w:bCs/>
                <w:color w:val="333333"/>
                <w:sz w:val="20"/>
                <w:szCs w:val="20"/>
                <w:lang w:eastAsia="ru-RU"/>
              </w:rPr>
              <w:t>от 28.11.2011 №2002p</w:t>
            </w:r>
            <w:r w:rsidRPr="00A40CCE">
              <w:rPr>
                <w:rFonts w:ascii="Verdana" w:eastAsia="Times New Roman" w:hAnsi="Verdana" w:cs="Times New Roman"/>
                <w:b/>
                <w:bCs/>
                <w:color w:val="333333"/>
                <w:sz w:val="20"/>
                <w:szCs w:val="20"/>
                <w:lang w:eastAsia="ru-RU"/>
              </w:rPr>
              <w:br/>
            </w:r>
            <w:r w:rsidRPr="00A40CCE">
              <w:rPr>
                <w:rFonts w:ascii="Verdana" w:eastAsia="Times New Roman" w:hAnsi="Verdana" w:cs="Times New Roman"/>
                <w:b/>
                <w:bCs/>
                <w:color w:val="333333"/>
                <w:sz w:val="20"/>
                <w:szCs w:val="20"/>
                <w:lang w:eastAsia="ru-RU"/>
              </w:rPr>
              <w:br/>
            </w:r>
            <w:r w:rsidRPr="00A40CCE">
              <w:rPr>
                <w:rFonts w:ascii="Verdana" w:eastAsia="Times New Roman" w:hAnsi="Verdana" w:cs="Times New Roman"/>
                <w:b/>
                <w:bCs/>
                <w:color w:val="333333"/>
                <w:sz w:val="20"/>
                <w:szCs w:val="20"/>
                <w:lang w:eastAsia="ru-RU"/>
              </w:rPr>
              <w:br/>
              <w:t>О ходе реализации постановления администрации города от 27.06.2011 №720 "О мерах, направленных на обеспечение исполнения бюджета города Нижневартовска в 2011 году" за 9 месяцев 2011 года</w:t>
            </w:r>
          </w:p>
        </w:tc>
      </w:tr>
    </w:tbl>
    <w:p w:rsidR="00A40CCE" w:rsidRPr="00A40CCE" w:rsidRDefault="00A40CCE" w:rsidP="00A40CCE">
      <w:pPr>
        <w:spacing w:after="0" w:line="240" w:lineRule="auto"/>
        <w:rPr>
          <w:rFonts w:ascii="Times New Roman" w:eastAsia="Times New Roman" w:hAnsi="Times New Roman" w:cs="Times New Roman"/>
          <w:sz w:val="24"/>
          <w:szCs w:val="24"/>
          <w:lang w:eastAsia="ru-RU"/>
        </w:rPr>
      </w:pPr>
      <w:r w:rsidRPr="00A40CCE">
        <w:rPr>
          <w:rFonts w:ascii="Verdana" w:eastAsia="Times New Roman" w:hAnsi="Verdana" w:cs="Times New Roman"/>
          <w:color w:val="333333"/>
          <w:sz w:val="20"/>
          <w:szCs w:val="20"/>
          <w:lang w:eastAsia="ru-RU"/>
        </w:rPr>
        <w:br/>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85"/>
      </w:tblGrid>
      <w:tr w:rsidR="00A40CCE" w:rsidRPr="00A40CCE" w:rsidTr="00A40CCE">
        <w:trPr>
          <w:tblCellSpacing w:w="0" w:type="dxa"/>
        </w:trPr>
        <w:tc>
          <w:tcPr>
            <w:tcW w:w="0" w:type="auto"/>
            <w:vAlign w:val="center"/>
            <w:hideMark/>
          </w:tcPr>
          <w:p w:rsidR="00A40CCE" w:rsidRPr="00A40CCE" w:rsidRDefault="00A40CCE" w:rsidP="00A40CCE">
            <w:pPr>
              <w:spacing w:after="0" w:line="240" w:lineRule="auto"/>
              <w:jc w:val="both"/>
              <w:rPr>
                <w:rFonts w:ascii="Verdana" w:eastAsia="Times New Roman" w:hAnsi="Verdana" w:cs="Times New Roman"/>
                <w:color w:val="333333"/>
                <w:sz w:val="20"/>
                <w:szCs w:val="20"/>
                <w:lang w:eastAsia="ru-RU"/>
              </w:rPr>
            </w:pPr>
            <w:r w:rsidRPr="00A40CCE">
              <w:rPr>
                <w:rFonts w:ascii="Verdana" w:eastAsia="Times New Roman" w:hAnsi="Verdana" w:cs="Times New Roman"/>
                <w:color w:val="333333"/>
                <w:sz w:val="20"/>
                <w:szCs w:val="20"/>
                <w:lang w:eastAsia="ru-RU"/>
              </w:rPr>
              <w:t>В соответствии с постановлением администрации города от 27.06.2011 №720 "О мерах, направленных на обеспечение исполнения бюджета города Нижневартовска в 2011 году":</w:t>
            </w:r>
          </w:p>
          <w:p w:rsidR="00A40CCE" w:rsidRPr="00A40CCE" w:rsidRDefault="00A40CCE" w:rsidP="00A40CCE">
            <w:pPr>
              <w:spacing w:after="0" w:line="240" w:lineRule="auto"/>
              <w:jc w:val="both"/>
              <w:rPr>
                <w:rFonts w:ascii="Verdana" w:eastAsia="Times New Roman" w:hAnsi="Verdana" w:cs="Times New Roman"/>
                <w:color w:val="333333"/>
                <w:sz w:val="20"/>
                <w:szCs w:val="20"/>
                <w:lang w:eastAsia="ru-RU"/>
              </w:rPr>
            </w:pPr>
            <w:r w:rsidRPr="00A40CCE">
              <w:rPr>
                <w:rFonts w:ascii="Verdana" w:eastAsia="Times New Roman" w:hAnsi="Verdana" w:cs="Times New Roman"/>
                <w:color w:val="333333"/>
                <w:sz w:val="20"/>
                <w:szCs w:val="20"/>
                <w:lang w:eastAsia="ru-RU"/>
              </w:rPr>
              <w:t> </w:t>
            </w:r>
          </w:p>
          <w:p w:rsidR="00A40CCE" w:rsidRPr="00A40CCE" w:rsidRDefault="00A40CCE" w:rsidP="00A40CCE">
            <w:pPr>
              <w:spacing w:after="0" w:line="240" w:lineRule="auto"/>
              <w:jc w:val="both"/>
              <w:rPr>
                <w:rFonts w:ascii="Verdana" w:eastAsia="Times New Roman" w:hAnsi="Verdana" w:cs="Times New Roman"/>
                <w:color w:val="333333"/>
                <w:sz w:val="20"/>
                <w:szCs w:val="20"/>
                <w:lang w:eastAsia="ru-RU"/>
              </w:rPr>
            </w:pPr>
            <w:r w:rsidRPr="00A40CCE">
              <w:rPr>
                <w:rFonts w:ascii="Verdana" w:eastAsia="Times New Roman" w:hAnsi="Verdana" w:cs="Times New Roman"/>
                <w:color w:val="333333"/>
                <w:sz w:val="20"/>
                <w:szCs w:val="20"/>
                <w:lang w:eastAsia="ru-RU"/>
              </w:rPr>
              <w:t>1. Принять к сведению информацию о ходе реализации постановления администрации города от 27.06.2011 №720 "О мерах, направленных на обеспечение исполнения бюджета города Нижневартовска в 2011 году" за 9 месяцев 2011 года согласно приложению.</w:t>
            </w:r>
          </w:p>
          <w:p w:rsidR="00A40CCE" w:rsidRPr="00A40CCE" w:rsidRDefault="00A40CCE" w:rsidP="00A40CCE">
            <w:pPr>
              <w:spacing w:after="0" w:line="240" w:lineRule="auto"/>
              <w:jc w:val="both"/>
              <w:rPr>
                <w:rFonts w:ascii="Verdana" w:eastAsia="Times New Roman" w:hAnsi="Verdana" w:cs="Times New Roman"/>
                <w:color w:val="333333"/>
                <w:sz w:val="20"/>
                <w:szCs w:val="20"/>
                <w:lang w:eastAsia="ru-RU"/>
              </w:rPr>
            </w:pPr>
            <w:r w:rsidRPr="00A40CCE">
              <w:rPr>
                <w:rFonts w:ascii="Verdana" w:eastAsia="Times New Roman" w:hAnsi="Verdana" w:cs="Times New Roman"/>
                <w:color w:val="333333"/>
                <w:sz w:val="20"/>
                <w:szCs w:val="20"/>
                <w:lang w:eastAsia="ru-RU"/>
              </w:rPr>
              <w:t> </w:t>
            </w:r>
          </w:p>
          <w:p w:rsidR="00A40CCE" w:rsidRPr="00A40CCE" w:rsidRDefault="00A40CCE" w:rsidP="00A40CCE">
            <w:pPr>
              <w:spacing w:after="0" w:line="240" w:lineRule="auto"/>
              <w:jc w:val="both"/>
              <w:rPr>
                <w:rFonts w:ascii="Verdana" w:eastAsia="Times New Roman" w:hAnsi="Verdana" w:cs="Times New Roman"/>
                <w:color w:val="333333"/>
                <w:sz w:val="20"/>
                <w:szCs w:val="20"/>
                <w:lang w:eastAsia="ru-RU"/>
              </w:rPr>
            </w:pPr>
            <w:r w:rsidRPr="00A40CCE">
              <w:rPr>
                <w:rFonts w:ascii="Verdana" w:eastAsia="Times New Roman" w:hAnsi="Verdana" w:cs="Times New Roman"/>
                <w:color w:val="333333"/>
                <w:sz w:val="20"/>
                <w:szCs w:val="20"/>
                <w:lang w:eastAsia="ru-RU"/>
              </w:rPr>
              <w:t>2. Признать удовлетворительной работу главных распорядителей средств бюджета города и главных администраторов доходов бюджета города по выполнению постановления администрации города от 27.06.2011 №720 "О мерах, направленных на обеспечение исполнения бюджета города Нижневартовска в 2011 году" за 9 месяцев 2011 года.</w:t>
            </w:r>
          </w:p>
        </w:tc>
      </w:tr>
    </w:tbl>
    <w:p w:rsidR="00A40CCE" w:rsidRPr="00A40CCE" w:rsidRDefault="00A40CCE" w:rsidP="00A40CCE">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016"/>
        <w:gridCol w:w="2339"/>
      </w:tblGrid>
      <w:tr w:rsidR="00A40CCE" w:rsidRPr="00A40CCE" w:rsidTr="00A40CCE">
        <w:trPr>
          <w:tblCellSpacing w:w="0" w:type="dxa"/>
        </w:trPr>
        <w:tc>
          <w:tcPr>
            <w:tcW w:w="3750" w:type="pct"/>
            <w:vAlign w:val="center"/>
            <w:hideMark/>
          </w:tcPr>
          <w:p w:rsidR="00A40CCE" w:rsidRPr="00A40CCE" w:rsidRDefault="00A40CCE" w:rsidP="00A40CCE">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A40CCE">
              <w:rPr>
                <w:rFonts w:ascii="Verdana" w:eastAsia="Times New Roman" w:hAnsi="Verdana" w:cs="Times New Roman"/>
                <w:color w:val="333333"/>
                <w:sz w:val="20"/>
                <w:szCs w:val="20"/>
                <w:lang w:eastAsia="ru-RU"/>
              </w:rPr>
              <w:br/>
            </w:r>
            <w:r w:rsidRPr="00A40CCE">
              <w:rPr>
                <w:rFonts w:ascii="Verdana" w:eastAsia="Times New Roman" w:hAnsi="Verdana" w:cs="Times New Roman"/>
                <w:b/>
                <w:bCs/>
                <w:color w:val="333333"/>
                <w:sz w:val="20"/>
                <w:szCs w:val="20"/>
                <w:lang w:eastAsia="ru-RU"/>
              </w:rPr>
              <w:t>Глава администрации города</w:t>
            </w:r>
          </w:p>
        </w:tc>
        <w:tc>
          <w:tcPr>
            <w:tcW w:w="0" w:type="auto"/>
            <w:vAlign w:val="center"/>
            <w:hideMark/>
          </w:tcPr>
          <w:p w:rsidR="00A40CCE" w:rsidRPr="00A40CCE" w:rsidRDefault="00A40CCE" w:rsidP="00A40CCE">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A40CCE">
              <w:rPr>
                <w:rFonts w:ascii="Verdana" w:eastAsia="Times New Roman" w:hAnsi="Verdana" w:cs="Times New Roman"/>
                <w:b/>
                <w:bCs/>
                <w:color w:val="333333"/>
                <w:sz w:val="20"/>
                <w:szCs w:val="20"/>
                <w:lang w:eastAsia="ru-RU"/>
              </w:rPr>
              <w:t> А.А. Бадина</w:t>
            </w:r>
          </w:p>
        </w:tc>
      </w:tr>
    </w:tbl>
    <w:p w:rsidR="00925020" w:rsidRDefault="00925020"/>
    <w:p w:rsidR="00A40CCE" w:rsidRDefault="00A40CCE"/>
    <w:p w:rsidR="00A40CCE" w:rsidRDefault="00A40CCE"/>
    <w:p w:rsidR="00A40CCE" w:rsidRDefault="00A40CCE"/>
    <w:p w:rsidR="00A40CCE" w:rsidRDefault="00A40CCE"/>
    <w:p w:rsidR="00A40CCE" w:rsidRDefault="00A40CCE"/>
    <w:p w:rsidR="00A40CCE" w:rsidRDefault="00A40CCE">
      <w:pPr>
        <w:sectPr w:rsidR="00A40CCE">
          <w:pgSz w:w="11906" w:h="16838"/>
          <w:pgMar w:top="1134" w:right="850" w:bottom="1134" w:left="1701" w:header="708" w:footer="708" w:gutter="0"/>
          <w:cols w:space="708"/>
          <w:docGrid w:linePitch="360"/>
        </w:sectPr>
      </w:pPr>
    </w:p>
    <w:p w:rsidR="00A40CCE" w:rsidRPr="00A40CCE" w:rsidRDefault="00A40CCE" w:rsidP="00A40CCE">
      <w:pPr>
        <w:spacing w:after="0" w:line="240" w:lineRule="auto"/>
        <w:ind w:left="10255"/>
        <w:jc w:val="both"/>
        <w:rPr>
          <w:rFonts w:ascii="Times New Roman" w:eastAsia="Times New Roman" w:hAnsi="Times New Roman" w:cs="Times New Roman"/>
          <w:sz w:val="28"/>
          <w:szCs w:val="28"/>
          <w:lang w:eastAsia="ru-RU"/>
        </w:rPr>
      </w:pPr>
      <w:r w:rsidRPr="00A40CCE">
        <w:rPr>
          <w:rFonts w:ascii="Times New Roman" w:eastAsia="Times New Roman" w:hAnsi="Times New Roman" w:cs="Times New Roman"/>
          <w:sz w:val="28"/>
          <w:szCs w:val="28"/>
          <w:lang w:eastAsia="ru-RU"/>
        </w:rPr>
        <w:lastRenderedPageBreak/>
        <w:t xml:space="preserve">Приложение к распоряжению </w:t>
      </w:r>
    </w:p>
    <w:p w:rsidR="00A40CCE" w:rsidRPr="00A40CCE" w:rsidRDefault="00A40CCE" w:rsidP="00A40CCE">
      <w:pPr>
        <w:spacing w:after="0" w:line="240" w:lineRule="auto"/>
        <w:ind w:left="10255"/>
        <w:jc w:val="both"/>
        <w:rPr>
          <w:rFonts w:ascii="Times New Roman" w:eastAsia="Times New Roman" w:hAnsi="Times New Roman" w:cs="Times New Roman"/>
          <w:sz w:val="28"/>
          <w:szCs w:val="28"/>
          <w:lang w:eastAsia="ru-RU"/>
        </w:rPr>
      </w:pPr>
      <w:r w:rsidRPr="00A40CCE">
        <w:rPr>
          <w:rFonts w:ascii="Times New Roman" w:eastAsia="Times New Roman" w:hAnsi="Times New Roman" w:cs="Times New Roman"/>
          <w:sz w:val="28"/>
          <w:szCs w:val="28"/>
          <w:lang w:eastAsia="ru-RU"/>
        </w:rPr>
        <w:t>администрации города</w:t>
      </w:r>
    </w:p>
    <w:p w:rsidR="00A40CCE" w:rsidRPr="00A40CCE" w:rsidRDefault="00A40CCE" w:rsidP="00A40CCE">
      <w:pPr>
        <w:spacing w:after="0" w:line="240" w:lineRule="auto"/>
        <w:ind w:left="10255"/>
        <w:jc w:val="both"/>
        <w:rPr>
          <w:rFonts w:ascii="Times New Roman" w:eastAsia="Times New Roman" w:hAnsi="Times New Roman" w:cs="Times New Roman"/>
          <w:sz w:val="20"/>
          <w:szCs w:val="20"/>
          <w:lang w:eastAsia="ar-SA"/>
        </w:rPr>
      </w:pPr>
      <w:r w:rsidRPr="00A40CCE">
        <w:rPr>
          <w:rFonts w:ascii="Times New Roman" w:eastAsia="Times New Roman" w:hAnsi="Times New Roman" w:cs="Times New Roman"/>
          <w:sz w:val="28"/>
          <w:szCs w:val="28"/>
          <w:lang w:eastAsia="ru-RU"/>
        </w:rPr>
        <w:t>от 28.11.2011 №2002-р</w:t>
      </w:r>
    </w:p>
    <w:p w:rsidR="00A40CCE" w:rsidRPr="00A40CCE" w:rsidRDefault="00A40CCE" w:rsidP="00A40CCE">
      <w:pPr>
        <w:spacing w:after="0" w:line="240" w:lineRule="auto"/>
        <w:rPr>
          <w:rFonts w:ascii="Times New Roman" w:eastAsia="Times New Roman" w:hAnsi="Times New Roman" w:cs="Times New Roman"/>
          <w:sz w:val="28"/>
          <w:szCs w:val="28"/>
          <w:lang w:eastAsia="ar-SA"/>
        </w:rPr>
      </w:pPr>
    </w:p>
    <w:tbl>
      <w:tblPr>
        <w:tblW w:w="14997" w:type="dxa"/>
        <w:tblInd w:w="-34" w:type="dxa"/>
        <w:tblLook w:val="0000" w:firstRow="0" w:lastRow="0" w:firstColumn="0" w:lastColumn="0" w:noHBand="0" w:noVBand="0"/>
      </w:tblPr>
      <w:tblGrid>
        <w:gridCol w:w="14997"/>
      </w:tblGrid>
      <w:tr w:rsidR="00A40CCE" w:rsidRPr="00A40CCE" w:rsidTr="00361C8D">
        <w:trPr>
          <w:trHeight w:val="100"/>
        </w:trPr>
        <w:tc>
          <w:tcPr>
            <w:tcW w:w="14997" w:type="dxa"/>
            <w:tcBorders>
              <w:top w:val="nil"/>
              <w:left w:val="nil"/>
              <w:bottom w:val="nil"/>
              <w:right w:val="nil"/>
            </w:tcBorders>
            <w:shd w:val="clear" w:color="auto" w:fill="auto"/>
            <w:noWrap/>
            <w:vAlign w:val="center"/>
          </w:tcPr>
          <w:p w:rsidR="00A40CCE" w:rsidRPr="00A40CCE" w:rsidRDefault="00A40CCE" w:rsidP="00A40CCE">
            <w:pPr>
              <w:spacing w:after="0" w:line="240" w:lineRule="auto"/>
              <w:jc w:val="center"/>
              <w:rPr>
                <w:rFonts w:ascii="Times New Roman" w:eastAsia="Times New Roman" w:hAnsi="Times New Roman" w:cs="Times New Roman"/>
                <w:b/>
                <w:sz w:val="28"/>
                <w:szCs w:val="28"/>
                <w:lang w:eastAsia="ar-SA"/>
              </w:rPr>
            </w:pPr>
            <w:r w:rsidRPr="00A40CCE">
              <w:rPr>
                <w:rFonts w:ascii="Times New Roman" w:eastAsia="Times New Roman" w:hAnsi="Times New Roman" w:cs="Times New Roman"/>
                <w:b/>
                <w:sz w:val="28"/>
                <w:szCs w:val="28"/>
                <w:lang w:eastAsia="ar-SA"/>
              </w:rPr>
              <w:t>Информация</w:t>
            </w:r>
          </w:p>
          <w:p w:rsidR="00A40CCE" w:rsidRPr="00A40CCE" w:rsidRDefault="00A40CCE" w:rsidP="00A40CCE">
            <w:pPr>
              <w:spacing w:after="0" w:line="240" w:lineRule="auto"/>
              <w:jc w:val="center"/>
              <w:rPr>
                <w:rFonts w:ascii="Times New Roman" w:eastAsia="Times New Roman" w:hAnsi="Times New Roman" w:cs="Times New Roman"/>
                <w:b/>
                <w:sz w:val="28"/>
                <w:szCs w:val="28"/>
                <w:lang w:eastAsia="ar-SA"/>
              </w:rPr>
            </w:pPr>
            <w:r w:rsidRPr="00A40CCE">
              <w:rPr>
                <w:rFonts w:ascii="Times New Roman" w:eastAsia="Times New Roman" w:hAnsi="Times New Roman" w:cs="Times New Roman"/>
                <w:b/>
                <w:sz w:val="28"/>
                <w:szCs w:val="28"/>
                <w:lang w:eastAsia="ar-SA"/>
              </w:rPr>
              <w:t>о ходе реализации постановления администрации города</w:t>
            </w:r>
          </w:p>
          <w:p w:rsidR="00A40CCE" w:rsidRPr="00A40CCE" w:rsidRDefault="00A40CCE" w:rsidP="00A40CCE">
            <w:pPr>
              <w:spacing w:after="0" w:line="240" w:lineRule="auto"/>
              <w:jc w:val="center"/>
              <w:rPr>
                <w:rFonts w:ascii="Times New Roman" w:eastAsia="Times New Roman" w:hAnsi="Times New Roman" w:cs="Times New Roman"/>
                <w:b/>
                <w:sz w:val="28"/>
                <w:szCs w:val="28"/>
                <w:lang w:eastAsia="ar-SA"/>
              </w:rPr>
            </w:pPr>
            <w:r w:rsidRPr="00A40CCE">
              <w:rPr>
                <w:rFonts w:ascii="Times New Roman" w:eastAsia="Times New Roman" w:hAnsi="Times New Roman" w:cs="Times New Roman"/>
                <w:b/>
                <w:sz w:val="28"/>
                <w:szCs w:val="28"/>
                <w:lang w:eastAsia="ar-SA"/>
              </w:rPr>
              <w:t>от 27.06.2011 №720 "О мерах, направленных на обеспечение</w:t>
            </w:r>
          </w:p>
          <w:p w:rsidR="00A40CCE" w:rsidRPr="00A40CCE" w:rsidRDefault="00A40CCE" w:rsidP="00A40CCE">
            <w:pPr>
              <w:spacing w:after="0" w:line="240" w:lineRule="auto"/>
              <w:jc w:val="center"/>
              <w:rPr>
                <w:rFonts w:ascii="Times New Roman" w:eastAsia="Times New Roman" w:hAnsi="Times New Roman" w:cs="Times New Roman"/>
                <w:b/>
                <w:sz w:val="28"/>
                <w:szCs w:val="28"/>
                <w:lang w:eastAsia="ar-SA"/>
              </w:rPr>
            </w:pPr>
            <w:r w:rsidRPr="00A40CCE">
              <w:rPr>
                <w:rFonts w:ascii="Times New Roman" w:eastAsia="Times New Roman" w:hAnsi="Times New Roman" w:cs="Times New Roman"/>
                <w:b/>
                <w:sz w:val="28"/>
                <w:szCs w:val="28"/>
                <w:lang w:eastAsia="ar-SA"/>
              </w:rPr>
              <w:t>исполнения бюджета города Нижневартовска в 2011 году"</w:t>
            </w:r>
          </w:p>
          <w:p w:rsidR="00A40CCE" w:rsidRPr="00A40CCE" w:rsidRDefault="00A40CCE" w:rsidP="00A40CCE">
            <w:pPr>
              <w:spacing w:after="0" w:line="240" w:lineRule="auto"/>
              <w:jc w:val="center"/>
              <w:rPr>
                <w:rFonts w:ascii="Times New Roman" w:eastAsia="Times New Roman" w:hAnsi="Times New Roman" w:cs="Times New Roman"/>
                <w:b/>
                <w:sz w:val="28"/>
                <w:szCs w:val="28"/>
                <w:lang w:eastAsia="ar-SA"/>
              </w:rPr>
            </w:pPr>
            <w:r w:rsidRPr="00A40CCE">
              <w:rPr>
                <w:rFonts w:ascii="Times New Roman" w:eastAsia="Times New Roman" w:hAnsi="Times New Roman" w:cs="Times New Roman"/>
                <w:b/>
                <w:sz w:val="28"/>
                <w:szCs w:val="28"/>
                <w:lang w:eastAsia="ar-SA"/>
              </w:rPr>
              <w:t>за 9 месяцев 2011 года</w:t>
            </w:r>
          </w:p>
          <w:p w:rsidR="00A40CCE" w:rsidRPr="00A40CCE" w:rsidRDefault="00A40CCE" w:rsidP="00A40CCE">
            <w:pPr>
              <w:spacing w:after="0" w:line="240" w:lineRule="auto"/>
              <w:ind w:firstLine="284"/>
              <w:jc w:val="right"/>
              <w:rPr>
                <w:rFonts w:ascii="Times New Roman" w:eastAsia="Times New Roman" w:hAnsi="Times New Roman" w:cs="Times New Roman"/>
                <w:b/>
                <w:sz w:val="24"/>
                <w:szCs w:val="24"/>
                <w:lang w:eastAsia="ar-SA"/>
              </w:rPr>
            </w:pP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3842"/>
              <w:gridCol w:w="8505"/>
            </w:tblGrid>
            <w:tr w:rsidR="00A40CCE" w:rsidRPr="00A40CCE" w:rsidTr="00361C8D">
              <w:trPr>
                <w:trHeight w:val="1621"/>
              </w:trPr>
              <w:tc>
                <w:tcPr>
                  <w:tcW w:w="2297" w:type="dxa"/>
                </w:tcPr>
                <w:p w:rsidR="00A40CCE" w:rsidRPr="00A40CCE" w:rsidRDefault="00A40CCE" w:rsidP="00A40CCE">
                  <w:pPr>
                    <w:widowControl w:val="0"/>
                    <w:autoSpaceDE w:val="0"/>
                    <w:autoSpaceDN w:val="0"/>
                    <w:adjustRightInd w:val="0"/>
                    <w:spacing w:after="0" w:line="240" w:lineRule="auto"/>
                    <w:ind w:hanging="64"/>
                    <w:contextualSpacing/>
                    <w:jc w:val="center"/>
                    <w:rPr>
                      <w:rFonts w:ascii="Times New Roman" w:eastAsia="Times New Roman" w:hAnsi="Times New Roman" w:cs="Times New Roman"/>
                      <w:b/>
                      <w:sz w:val="24"/>
                      <w:szCs w:val="24"/>
                      <w:lang w:eastAsia="ru-RU"/>
                    </w:rPr>
                  </w:pPr>
                  <w:r w:rsidRPr="00A40CCE">
                    <w:rPr>
                      <w:rFonts w:ascii="Times New Roman" w:eastAsia="Times New Roman" w:hAnsi="Times New Roman" w:cs="Times New Roman"/>
                      <w:b/>
                      <w:sz w:val="24"/>
                      <w:szCs w:val="24"/>
                      <w:lang w:eastAsia="ru-RU"/>
                    </w:rPr>
                    <w:t>№</w:t>
                  </w:r>
                </w:p>
                <w:p w:rsidR="00A40CCE" w:rsidRPr="00A40CCE" w:rsidRDefault="00A40CCE" w:rsidP="00A40CCE">
                  <w:pPr>
                    <w:widowControl w:val="0"/>
                    <w:autoSpaceDE w:val="0"/>
                    <w:autoSpaceDN w:val="0"/>
                    <w:adjustRightInd w:val="0"/>
                    <w:spacing w:after="0" w:line="240" w:lineRule="auto"/>
                    <w:ind w:hanging="64"/>
                    <w:contextualSpacing/>
                    <w:jc w:val="center"/>
                    <w:rPr>
                      <w:rFonts w:ascii="Times New Roman" w:eastAsia="Times New Roman" w:hAnsi="Times New Roman" w:cs="Times New Roman"/>
                      <w:b/>
                      <w:sz w:val="24"/>
                      <w:szCs w:val="24"/>
                      <w:lang w:eastAsia="ru-RU"/>
                    </w:rPr>
                  </w:pPr>
                  <w:r w:rsidRPr="00A40CCE">
                    <w:rPr>
                      <w:rFonts w:ascii="Times New Roman" w:eastAsia="Times New Roman" w:hAnsi="Times New Roman" w:cs="Times New Roman"/>
                      <w:b/>
                      <w:sz w:val="24"/>
                      <w:szCs w:val="24"/>
                      <w:lang w:eastAsia="ru-RU"/>
                    </w:rPr>
                    <w:t>п/п</w:t>
                  </w:r>
                </w:p>
                <w:p w:rsidR="00A40CCE" w:rsidRPr="00A40CCE" w:rsidRDefault="00A40CCE" w:rsidP="00A40CCE">
                  <w:pPr>
                    <w:spacing w:after="0" w:line="240" w:lineRule="auto"/>
                    <w:contextualSpacing/>
                    <w:jc w:val="center"/>
                    <w:rPr>
                      <w:rFonts w:ascii="Times New Roman" w:eastAsia="Times New Roman" w:hAnsi="Times New Roman" w:cs="Times New Roman"/>
                      <w:b/>
                      <w:sz w:val="24"/>
                      <w:szCs w:val="24"/>
                      <w:lang w:eastAsia="ru-RU"/>
                    </w:rPr>
                  </w:pPr>
                  <w:r w:rsidRPr="00A40CCE">
                    <w:rPr>
                      <w:rFonts w:ascii="Times New Roman" w:eastAsia="Times New Roman" w:hAnsi="Times New Roman" w:cs="Times New Roman"/>
                      <w:b/>
                      <w:sz w:val="24"/>
                      <w:szCs w:val="24"/>
                      <w:lang w:eastAsia="ru-RU"/>
                    </w:rPr>
                    <w:t xml:space="preserve">постановления </w:t>
                  </w:r>
                </w:p>
                <w:p w:rsidR="00A40CCE" w:rsidRPr="00A40CCE" w:rsidRDefault="00A40CCE" w:rsidP="00A40CCE">
                  <w:pPr>
                    <w:spacing w:after="0" w:line="240" w:lineRule="auto"/>
                    <w:contextualSpacing/>
                    <w:jc w:val="center"/>
                    <w:rPr>
                      <w:rFonts w:ascii="Times New Roman" w:eastAsia="Times New Roman" w:hAnsi="Times New Roman" w:cs="Times New Roman"/>
                      <w:b/>
                      <w:sz w:val="24"/>
                      <w:szCs w:val="24"/>
                      <w:lang w:eastAsia="ru-RU"/>
                    </w:rPr>
                  </w:pPr>
                  <w:r w:rsidRPr="00A40CCE">
                    <w:rPr>
                      <w:rFonts w:ascii="Times New Roman" w:eastAsia="Times New Roman" w:hAnsi="Times New Roman" w:cs="Times New Roman"/>
                      <w:b/>
                      <w:sz w:val="24"/>
                      <w:szCs w:val="24"/>
                      <w:lang w:eastAsia="ru-RU"/>
                    </w:rPr>
                    <w:t xml:space="preserve">администрации </w:t>
                  </w:r>
                </w:p>
                <w:p w:rsidR="00A40CCE" w:rsidRPr="00A40CCE" w:rsidRDefault="00A40CCE" w:rsidP="00A40CCE">
                  <w:pPr>
                    <w:spacing w:after="0" w:line="240" w:lineRule="auto"/>
                    <w:contextualSpacing/>
                    <w:jc w:val="center"/>
                    <w:rPr>
                      <w:rFonts w:ascii="Times New Roman" w:eastAsia="Times New Roman" w:hAnsi="Times New Roman" w:cs="Times New Roman"/>
                      <w:b/>
                      <w:sz w:val="24"/>
                      <w:szCs w:val="24"/>
                      <w:lang w:eastAsia="ru-RU"/>
                    </w:rPr>
                  </w:pPr>
                  <w:r w:rsidRPr="00A40CCE">
                    <w:rPr>
                      <w:rFonts w:ascii="Times New Roman" w:eastAsia="Times New Roman" w:hAnsi="Times New Roman" w:cs="Times New Roman"/>
                      <w:b/>
                      <w:sz w:val="24"/>
                      <w:szCs w:val="24"/>
                      <w:lang w:eastAsia="ru-RU"/>
                    </w:rPr>
                    <w:t xml:space="preserve">города </w:t>
                  </w:r>
                </w:p>
                <w:p w:rsidR="00A40CCE" w:rsidRPr="00A40CCE" w:rsidRDefault="00A40CCE" w:rsidP="00A40CCE">
                  <w:pPr>
                    <w:spacing w:after="0" w:line="240" w:lineRule="auto"/>
                    <w:contextualSpacing/>
                    <w:jc w:val="center"/>
                    <w:rPr>
                      <w:rFonts w:ascii="Times New Roman" w:eastAsia="Times New Roman" w:hAnsi="Times New Roman" w:cs="Times New Roman"/>
                      <w:b/>
                      <w:sz w:val="24"/>
                      <w:szCs w:val="24"/>
                      <w:lang w:eastAsia="ru-RU"/>
                    </w:rPr>
                  </w:pPr>
                  <w:r w:rsidRPr="00A40CCE">
                    <w:rPr>
                      <w:rFonts w:ascii="Times New Roman" w:eastAsia="Times New Roman" w:hAnsi="Times New Roman" w:cs="Times New Roman"/>
                      <w:b/>
                      <w:sz w:val="24"/>
                      <w:szCs w:val="24"/>
                      <w:lang w:eastAsia="ru-RU"/>
                    </w:rPr>
                    <w:t>от 27.06.2011 №720</w:t>
                  </w:r>
                </w:p>
              </w:tc>
              <w:tc>
                <w:tcPr>
                  <w:tcW w:w="3842" w:type="dxa"/>
                </w:tcPr>
                <w:p w:rsidR="00A40CCE" w:rsidRPr="00A40CCE" w:rsidRDefault="00A40CCE" w:rsidP="00A40CCE">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A40CCE">
                    <w:rPr>
                      <w:rFonts w:ascii="Times New Roman" w:eastAsia="Times New Roman" w:hAnsi="Times New Roman" w:cs="Times New Roman"/>
                      <w:b/>
                      <w:sz w:val="24"/>
                      <w:szCs w:val="24"/>
                      <w:lang w:eastAsia="ru-RU"/>
                    </w:rPr>
                    <w:t>Содержание</w:t>
                  </w:r>
                </w:p>
              </w:tc>
              <w:tc>
                <w:tcPr>
                  <w:tcW w:w="8505" w:type="dxa"/>
                </w:tcPr>
                <w:p w:rsidR="00A40CCE" w:rsidRPr="00A40CCE" w:rsidRDefault="00A40CCE" w:rsidP="00A40CCE">
                  <w:pPr>
                    <w:spacing w:after="0" w:line="240" w:lineRule="auto"/>
                    <w:ind w:firstLine="284"/>
                    <w:jc w:val="center"/>
                    <w:rPr>
                      <w:rFonts w:ascii="Times New Roman" w:eastAsia="Times New Roman" w:hAnsi="Times New Roman" w:cs="Times New Roman"/>
                      <w:b/>
                      <w:sz w:val="24"/>
                      <w:szCs w:val="24"/>
                      <w:lang w:eastAsia="ar-SA"/>
                    </w:rPr>
                  </w:pPr>
                  <w:r w:rsidRPr="00A40CCE">
                    <w:rPr>
                      <w:rFonts w:ascii="Times New Roman" w:eastAsia="Times New Roman" w:hAnsi="Times New Roman" w:cs="Times New Roman"/>
                      <w:b/>
                      <w:sz w:val="24"/>
                      <w:szCs w:val="24"/>
                      <w:lang w:eastAsia="ar-SA"/>
                    </w:rPr>
                    <w:t xml:space="preserve">Выполнение </w:t>
                  </w:r>
                </w:p>
              </w:tc>
            </w:tr>
            <w:tr w:rsidR="00A40CCE" w:rsidRPr="00A40CCE" w:rsidTr="00361C8D">
              <w:trPr>
                <w:trHeight w:val="499"/>
              </w:trPr>
              <w:tc>
                <w:tcPr>
                  <w:tcW w:w="2297" w:type="dxa"/>
                </w:tcPr>
                <w:p w:rsidR="00A40CCE" w:rsidRPr="00A40CCE" w:rsidRDefault="00A40CCE" w:rsidP="00A40CCE">
                  <w:pPr>
                    <w:spacing w:after="0" w:line="240" w:lineRule="auto"/>
                    <w:ind w:hanging="64"/>
                    <w:jc w:val="center"/>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1.</w:t>
                  </w: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Главным администраторам доходов бюджета города:</w:t>
                  </w:r>
                </w:p>
              </w:tc>
              <w:tc>
                <w:tcPr>
                  <w:tcW w:w="8505" w:type="dxa"/>
                </w:tcPr>
                <w:p w:rsidR="00A40CCE" w:rsidRPr="00A40CCE" w:rsidRDefault="00A40CCE" w:rsidP="00A40CCE">
                  <w:pPr>
                    <w:spacing w:after="0" w:line="240" w:lineRule="auto"/>
                    <w:ind w:firstLine="284"/>
                    <w:contextualSpacing/>
                    <w:rPr>
                      <w:rFonts w:ascii="Times New Roman" w:eastAsia="Times New Roman" w:hAnsi="Times New Roman" w:cs="Times New Roman"/>
                      <w:sz w:val="24"/>
                      <w:szCs w:val="24"/>
                      <w:lang w:eastAsia="ar-SA"/>
                    </w:rPr>
                  </w:pPr>
                </w:p>
              </w:tc>
            </w:tr>
            <w:tr w:rsidR="00A40CCE" w:rsidRPr="00A40CCE" w:rsidTr="00361C8D">
              <w:trPr>
                <w:trHeight w:val="265"/>
              </w:trPr>
              <w:tc>
                <w:tcPr>
                  <w:tcW w:w="2297" w:type="dxa"/>
                  <w:tcBorders>
                    <w:bottom w:val="single" w:sz="4" w:space="0" w:color="auto"/>
                  </w:tcBorders>
                </w:tcPr>
                <w:p w:rsidR="00A40CCE" w:rsidRPr="00A40CCE" w:rsidRDefault="00A40CCE" w:rsidP="00A40CCE">
                  <w:pPr>
                    <w:spacing w:after="0" w:line="240" w:lineRule="auto"/>
                    <w:ind w:hanging="64"/>
                    <w:jc w:val="center"/>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1.1.</w:t>
                  </w:r>
                </w:p>
              </w:tc>
              <w:tc>
                <w:tcPr>
                  <w:tcW w:w="3842" w:type="dxa"/>
                  <w:tcBorders>
                    <w:bottom w:val="single" w:sz="4" w:space="0" w:color="auto"/>
                  </w:tcBorders>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Принять меры по обеспечению полного и своевременного поступления доходов бюджета города</w:t>
                  </w:r>
                </w:p>
              </w:tc>
              <w:tc>
                <w:tcPr>
                  <w:tcW w:w="8505" w:type="dxa"/>
                  <w:tcBorders>
                    <w:bottom w:val="single" w:sz="4" w:space="0" w:color="auto"/>
                  </w:tcBorders>
                  <w:shd w:val="clear" w:color="auto" w:fill="auto"/>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highlight w:val="yellow"/>
                      <w:lang w:eastAsia="ar-SA"/>
                    </w:rPr>
                  </w:pPr>
                  <w:r w:rsidRPr="00A40CCE">
                    <w:rPr>
                      <w:rFonts w:ascii="Times New Roman" w:eastAsia="Times New Roman" w:hAnsi="Times New Roman" w:cs="Times New Roman"/>
                      <w:sz w:val="24"/>
                      <w:szCs w:val="24"/>
                      <w:lang w:eastAsia="ar-SA"/>
                    </w:rPr>
                    <w:t xml:space="preserve">поступление налоговых и неналоговых доходов составило 4 504 млн. руб. или  50%  от общего объема доходов. План по данным доходам выполнен на 100,4%, в том числе сверхплановые поступления налоговых доходов составили 6 млн. руб., неналоговых - 10 млн. руб. По сравнению с аналогичным периодом прошлого года поступление налоговых и неналоговых доходов увеличилось на             11 млн. руб. </w:t>
                  </w:r>
                </w:p>
              </w:tc>
            </w:tr>
            <w:tr w:rsidR="00A40CCE" w:rsidRPr="00A40CCE" w:rsidTr="00361C8D">
              <w:tc>
                <w:tcPr>
                  <w:tcW w:w="2297" w:type="dxa"/>
                  <w:tcBorders>
                    <w:bottom w:val="single" w:sz="4" w:space="0" w:color="auto"/>
                  </w:tcBorders>
                </w:tcPr>
                <w:p w:rsidR="00A40CCE" w:rsidRPr="00A40CCE" w:rsidRDefault="00A40CCE" w:rsidP="00A40CCE">
                  <w:pPr>
                    <w:spacing w:after="0" w:line="240" w:lineRule="auto"/>
                    <w:ind w:hanging="64"/>
                    <w:jc w:val="center"/>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1.2.</w:t>
                  </w:r>
                </w:p>
              </w:tc>
              <w:tc>
                <w:tcPr>
                  <w:tcW w:w="3842" w:type="dxa"/>
                  <w:tcBorders>
                    <w:bottom w:val="single" w:sz="4" w:space="0" w:color="auto"/>
                  </w:tcBorders>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xml:space="preserve">Своевременно и в полном объеме представлять плательщикам информацию о реквизитах и кодах бюджетной классификации для зачисления соответствующих поступлений в бюджет города  в целях сокращения, а в дальнейшем ликвидации невыясненных </w:t>
                  </w:r>
                  <w:r w:rsidRPr="00A40CCE">
                    <w:rPr>
                      <w:rFonts w:ascii="Times New Roman" w:eastAsia="Times New Roman" w:hAnsi="Times New Roman" w:cs="Times New Roman"/>
                      <w:sz w:val="24"/>
                      <w:szCs w:val="24"/>
                      <w:lang w:eastAsia="ar-SA"/>
                    </w:rPr>
                    <w:lastRenderedPageBreak/>
                    <w:t>платежей в бюджет города</w:t>
                  </w:r>
                </w:p>
              </w:tc>
              <w:tc>
                <w:tcPr>
                  <w:tcW w:w="8505" w:type="dxa"/>
                  <w:tcBorders>
                    <w:bottom w:val="single" w:sz="4" w:space="0" w:color="auto"/>
                  </w:tcBorders>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lastRenderedPageBreak/>
                    <w:t>на 01.04.2011 невыясненные платежи в бюджет города  составляли 9 372 тыс. руб., на 01.07.2011 - 2 247 тыс. руб., на 01.10.2011 - 1 664 тыс. руб., то есть                   в течение отчетного периода имеет место значительное снижение невыясненных платежей</w:t>
                  </w:r>
                </w:p>
              </w:tc>
            </w:tr>
            <w:tr w:rsidR="00A40CCE" w:rsidRPr="00A40CCE" w:rsidTr="00361C8D">
              <w:tc>
                <w:tcPr>
                  <w:tcW w:w="2297" w:type="dxa"/>
                  <w:tcBorders>
                    <w:top w:val="single" w:sz="4" w:space="0" w:color="auto"/>
                  </w:tcBorders>
                </w:tcPr>
                <w:p w:rsidR="00A40CCE" w:rsidRPr="00A40CCE" w:rsidRDefault="00A40CCE" w:rsidP="00A40CCE">
                  <w:pPr>
                    <w:spacing w:after="0" w:line="240" w:lineRule="auto"/>
                    <w:ind w:hanging="64"/>
                    <w:jc w:val="center"/>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lastRenderedPageBreak/>
                    <w:t>1.3.</w:t>
                  </w:r>
                </w:p>
              </w:tc>
              <w:tc>
                <w:tcPr>
                  <w:tcW w:w="3842" w:type="dxa"/>
                  <w:tcBorders>
                    <w:top w:val="single" w:sz="4" w:space="0" w:color="auto"/>
                  </w:tcBorders>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Активизировать работу по сокращению задолженности путем проведения своевременной претензионно-исковой работы с неплательщиками и осуществления мер принудительного взыскания</w:t>
                  </w:r>
                </w:p>
              </w:tc>
              <w:tc>
                <w:tcPr>
                  <w:tcW w:w="8505" w:type="dxa"/>
                  <w:tcBorders>
                    <w:top w:val="single" w:sz="4" w:space="0" w:color="auto"/>
                  </w:tcBorders>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u w:val="single"/>
                      <w:lang w:eastAsia="ar-SA"/>
                    </w:rPr>
                    <w:t>в части муниципального имущества</w:t>
                  </w:r>
                  <w:r w:rsidRPr="00A40CCE">
                    <w:rPr>
                      <w:rFonts w:ascii="Times New Roman" w:eastAsia="Times New Roman" w:hAnsi="Times New Roman" w:cs="Times New Roman"/>
                      <w:sz w:val="24"/>
                      <w:szCs w:val="24"/>
                      <w:lang w:eastAsia="ar-SA"/>
                    </w:rPr>
                    <w:t>:</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ru-RU"/>
                    </w:rPr>
                  </w:pPr>
                  <w:r w:rsidRPr="00A40CCE">
                    <w:rPr>
                      <w:rFonts w:ascii="Times New Roman" w:eastAsia="Times New Roman" w:hAnsi="Times New Roman" w:cs="Times New Roman"/>
                      <w:sz w:val="24"/>
                      <w:szCs w:val="24"/>
                      <w:lang w:eastAsia="ru-RU"/>
                    </w:rPr>
                    <w:t>1) в адрес контрагентов, нарушающих обязательства по внесению в бюджет города денежных средств в соответствии с принятыми на себя договорными обязательствами, направлено 140 претензий на общую сумму 23 225,9 тыс. руб.,            в том числе:</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ru-RU"/>
                    </w:rPr>
                  </w:pPr>
                  <w:r w:rsidRPr="00A40CCE">
                    <w:rPr>
                      <w:rFonts w:ascii="Times New Roman" w:eastAsia="Times New Roman" w:hAnsi="Times New Roman" w:cs="Times New Roman"/>
                      <w:sz w:val="24"/>
                      <w:szCs w:val="24"/>
                      <w:lang w:eastAsia="ru-RU"/>
                    </w:rPr>
                    <w:t>- 105 претензий на общую сумму 20 127,2 тыс. руб. - арендаторам объектов муниципальной собственности;</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ru-RU"/>
                    </w:rPr>
                  </w:pPr>
                  <w:r w:rsidRPr="00A40CCE">
                    <w:rPr>
                      <w:rFonts w:ascii="Times New Roman" w:eastAsia="Times New Roman" w:hAnsi="Times New Roman" w:cs="Times New Roman"/>
                      <w:sz w:val="24"/>
                      <w:szCs w:val="24"/>
                      <w:lang w:eastAsia="ru-RU"/>
                    </w:rPr>
                    <w:t>- 25 претензий на общую сумму 651,6 тыс. руб. - рекламораспространителям, размещающим рекламные конструкции на объектах муниципальной собственности;</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ru-RU"/>
                    </w:rPr>
                  </w:pPr>
                  <w:r w:rsidRPr="00A40CCE">
                    <w:rPr>
                      <w:rFonts w:ascii="Times New Roman" w:eastAsia="Times New Roman" w:hAnsi="Times New Roman" w:cs="Times New Roman"/>
                      <w:sz w:val="24"/>
                      <w:szCs w:val="24"/>
                      <w:lang w:eastAsia="ru-RU"/>
                    </w:rPr>
                    <w:t>- 4 претензии на общую сумму 1 723,4 тыс. руб. – покупателям по договорам  купли-продажи арендуемого муниципального имущества;</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ru-RU"/>
                    </w:rPr>
                  </w:pPr>
                  <w:r w:rsidRPr="00A40CCE">
                    <w:rPr>
                      <w:rFonts w:ascii="Times New Roman" w:eastAsia="Times New Roman" w:hAnsi="Times New Roman" w:cs="Times New Roman"/>
                      <w:sz w:val="24"/>
                      <w:szCs w:val="24"/>
                      <w:lang w:eastAsia="ru-RU"/>
                    </w:rPr>
                    <w:t>- 2 претензии на общую сумму 309,8 тыс. руб. – контрагентам по договорам найма жилых помещений с правом выкупа;</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ru-RU"/>
                    </w:rPr>
                  </w:pPr>
                  <w:r w:rsidRPr="00A40CCE">
                    <w:rPr>
                      <w:rFonts w:ascii="Times New Roman" w:eastAsia="Times New Roman" w:hAnsi="Times New Roman" w:cs="Times New Roman"/>
                      <w:sz w:val="24"/>
                      <w:szCs w:val="24"/>
                      <w:lang w:eastAsia="ru-RU"/>
                    </w:rPr>
                    <w:t>- 2 претензии на общую сумму 155,5 тыс. руб. – контрагентам по договорам мены квартир;</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ru-RU"/>
                    </w:rPr>
                  </w:pPr>
                  <w:r w:rsidRPr="00A40CCE">
                    <w:rPr>
                      <w:rFonts w:ascii="Times New Roman" w:eastAsia="Times New Roman" w:hAnsi="Times New Roman" w:cs="Times New Roman"/>
                      <w:sz w:val="24"/>
                      <w:szCs w:val="24"/>
                      <w:lang w:eastAsia="ru-RU"/>
                    </w:rPr>
                    <w:t>- 1 претензия на сумму 2,2 тыс. руб. – контрагентам по договорам найма жилого помещения без права выкупа;</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ru-RU"/>
                    </w:rPr>
                  </w:pPr>
                  <w:r w:rsidRPr="00A40CCE">
                    <w:rPr>
                      <w:rFonts w:ascii="Times New Roman" w:eastAsia="Times New Roman" w:hAnsi="Times New Roman" w:cs="Times New Roman"/>
                      <w:sz w:val="24"/>
                      <w:szCs w:val="24"/>
                      <w:lang w:eastAsia="ru-RU"/>
                    </w:rPr>
                    <w:t>- 1 претензия на сумму 256,2 тыс. руб. – покупателю по договору купли-продажи жилого помещения;</w:t>
                  </w:r>
                </w:p>
                <w:p w:rsidR="00A40CCE" w:rsidRPr="00A40CCE" w:rsidRDefault="00A40CCE" w:rsidP="00A40CCE">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ru-RU"/>
                    </w:rPr>
                    <w:t>2) в</w:t>
                  </w:r>
                  <w:r w:rsidRPr="00A40CCE">
                    <w:rPr>
                      <w:rFonts w:ascii="Times New Roman" w:eastAsia="Times New Roman" w:hAnsi="Times New Roman" w:cs="Times New Roman"/>
                      <w:sz w:val="24"/>
                      <w:szCs w:val="24"/>
                      <w:lang w:eastAsia="ar-SA"/>
                    </w:rPr>
                    <w:t xml:space="preserve"> юридическое управление администрации города передано 19 материалов для взыскания в судебном порядке задолженности перед бюджетом города на общую сумму 18 088,1 тыс. руб. На основании вступивших в законную силу судебных решений в погашение задолженности в бюджет города поступили денежные средства в сумме 6 514,6 тыс. руб.;</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3) подготовлены и направлены на подписание юридическим лицам в рамках судебных разбирательств по искам администрации города</w:t>
                  </w:r>
                  <w:r w:rsidRPr="00A40CCE">
                    <w:rPr>
                      <w:rFonts w:ascii="Times New Roman" w:eastAsia="Times New Roman" w:hAnsi="Times New Roman" w:cs="Times New Roman"/>
                      <w:b/>
                      <w:sz w:val="24"/>
                      <w:szCs w:val="24"/>
                      <w:lang w:eastAsia="ar-SA"/>
                    </w:rPr>
                    <w:t xml:space="preserve"> </w:t>
                  </w:r>
                  <w:r w:rsidRPr="00A40CCE">
                    <w:rPr>
                      <w:rFonts w:ascii="Times New Roman" w:eastAsia="Times New Roman" w:hAnsi="Times New Roman" w:cs="Times New Roman"/>
                      <w:sz w:val="24"/>
                      <w:szCs w:val="24"/>
                      <w:lang w:eastAsia="ar-SA"/>
                    </w:rPr>
                    <w:t>4</w:t>
                  </w:r>
                  <w:r w:rsidRPr="00A40CCE">
                    <w:rPr>
                      <w:rFonts w:ascii="Times New Roman" w:eastAsia="Times New Roman" w:hAnsi="Times New Roman" w:cs="Times New Roman"/>
                      <w:b/>
                      <w:sz w:val="24"/>
                      <w:szCs w:val="24"/>
                      <w:lang w:eastAsia="ar-SA"/>
                    </w:rPr>
                    <w:t xml:space="preserve"> </w:t>
                  </w:r>
                  <w:r w:rsidRPr="00A40CCE">
                    <w:rPr>
                      <w:rFonts w:ascii="Times New Roman" w:eastAsia="Times New Roman" w:hAnsi="Times New Roman" w:cs="Times New Roman"/>
                      <w:sz w:val="24"/>
                      <w:szCs w:val="24"/>
                      <w:lang w:eastAsia="ar-SA"/>
                    </w:rPr>
                    <w:t>акта сверки взаимных расчетов, в том числе:</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- 3 акта сверки по договорам на установку и эксплуатацию рекламных конструкций;</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- 1 акт сверки с учреждением, использующим муниципальное нежилое помещение без законных оснований;</w:t>
                  </w:r>
                </w:p>
                <w:p w:rsidR="00A40CCE" w:rsidRPr="00A40CCE" w:rsidRDefault="00A40CCE" w:rsidP="00A40CCE">
                  <w:pPr>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lastRenderedPageBreak/>
                    <w:t>4) арбитражным судом Ханты-Мансийского автономного округа - Югры                    в пользу администрации города приняты решения о взыскании задолженности   в размере 781,4 тыс. руб. по арендной плате, пени и процентам за пользование чужими денежными средствами в отношении 6 должников;</w:t>
                  </w:r>
                </w:p>
                <w:p w:rsidR="00A40CCE" w:rsidRPr="00A40CCE" w:rsidRDefault="00A40CCE" w:rsidP="00A40CCE">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ru-RU"/>
                    </w:rPr>
                    <w:t>5) п</w:t>
                  </w:r>
                  <w:r w:rsidRPr="00A40CCE">
                    <w:rPr>
                      <w:rFonts w:ascii="Times New Roman" w:eastAsia="Times New Roman" w:hAnsi="Times New Roman" w:cs="Times New Roman"/>
                      <w:color w:val="000000"/>
                      <w:sz w:val="24"/>
                      <w:szCs w:val="24"/>
                      <w:lang w:eastAsia="ru-RU"/>
                    </w:rPr>
                    <w:t xml:space="preserve">роведено 9 заседаний комиссии по проверке своевременности внесения арендной платы за использование муниципального имущества. На заседания были приглашены 60 контрагентов по договорам аренды нежилых помещений            и по договорам на установку и эксплуатацию рекламных конструкций, допустивших задолженность перед городским бюджетом на общую сумму 7 750,5 тыс. руб. </w:t>
                  </w:r>
                  <w:r w:rsidRPr="00A40CCE">
                    <w:rPr>
                      <w:rFonts w:ascii="Times New Roman" w:eastAsia="Times New Roman" w:hAnsi="Times New Roman" w:cs="Times New Roman"/>
                      <w:sz w:val="24"/>
                      <w:szCs w:val="24"/>
                      <w:lang w:eastAsia="ar-SA"/>
                    </w:rPr>
                    <w:t>В комиссию должниками были представлены платежные документы об оплате суммы долга в размере 3 206,6 тыс. руб., что составляет 41,37%                 от общей суммы задолженности. Погашение остальной части задолженности поставлено комиссией на контроль;</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6) в рамках осуществления проверок соблюдения контрагентами условий договоров коммерческого найма жилых помещений с правом выкупа, мены, купли-продажи жилых помещений и долей в них по 68 договорам составлены и переданы гражданам справки о состоянии лицевых счетов и выполнении денежных обязательств. По 82 договорам с контрагентами составлены акты сверки платежей;</w:t>
                  </w:r>
                </w:p>
                <w:p w:rsidR="00A40CCE" w:rsidRPr="00A40CCE" w:rsidRDefault="00A40CCE" w:rsidP="00A40CCE">
                  <w:pPr>
                    <w:tabs>
                      <w:tab w:val="left" w:pos="-166"/>
                      <w:tab w:val="left" w:pos="0"/>
                    </w:tabs>
                    <w:spacing w:after="0" w:line="240" w:lineRule="auto"/>
                    <w:contextualSpacing/>
                    <w:jc w:val="both"/>
                    <w:rPr>
                      <w:rFonts w:ascii="Times New Roman" w:eastAsia="Times New Roman" w:hAnsi="Times New Roman" w:cs="Times New Roman"/>
                      <w:sz w:val="24"/>
                      <w:szCs w:val="24"/>
                      <w:u w:val="single"/>
                      <w:lang w:eastAsia="ar-SA"/>
                    </w:rPr>
                  </w:pPr>
                  <w:r w:rsidRPr="00A40CCE">
                    <w:rPr>
                      <w:rFonts w:ascii="Times New Roman" w:eastAsia="Times New Roman" w:hAnsi="Times New Roman" w:cs="Times New Roman"/>
                      <w:sz w:val="24"/>
                      <w:szCs w:val="24"/>
                      <w:u w:val="single"/>
                      <w:lang w:eastAsia="ar-SA"/>
                    </w:rPr>
                    <w:t>в части земельных участков:</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за 9 месяцев 2011 года в целях ликвидации кредиторской задолженности по доходам от аренды земельных участков приняты следующие меры:</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направлено 368 претензий арендаторам-должникам с требованиями о погашении задолженности на сумму 97 580 тыс. руб. (в том числе в местный бюджет - 78 064 тыс. руб.), в результате оплачено 24 287 тыс. руб. (в том числе в местный бюджет - 19 430 тыс. руб.);</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проведено 18 заседаний комиссии по контролю за своевременностью внесения арендной платы за земельные участки с приглашением 194 арендаторов-должников, общая сумма задолженности которых составила 114 538 тыс. руб.  (в том числе в местный бюджет - 91 630 тыс. руб.), в результате оплачено 34 550 тыс. руб. (в местный бюджет - 27 640 тыс. руб.);</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highlight w:val="yellow"/>
                      <w:lang w:eastAsia="ar-SA"/>
                    </w:rPr>
                  </w:pPr>
                  <w:r w:rsidRPr="00A40CCE">
                    <w:rPr>
                      <w:rFonts w:ascii="Times New Roman" w:eastAsia="Times New Roman" w:hAnsi="Times New Roman" w:cs="Times New Roman"/>
                      <w:sz w:val="24"/>
                      <w:szCs w:val="24"/>
                      <w:lang w:eastAsia="ar-SA"/>
                    </w:rPr>
                    <w:t xml:space="preserve">- в юридическое управление администрации города для взыскания с арендаторов задолженности в судебном порядке передано 65 дел на общую </w:t>
                  </w:r>
                  <w:r w:rsidRPr="00A40CCE">
                    <w:rPr>
                      <w:rFonts w:ascii="Times New Roman" w:eastAsia="Times New Roman" w:hAnsi="Times New Roman" w:cs="Times New Roman"/>
                      <w:sz w:val="24"/>
                      <w:szCs w:val="24"/>
                      <w:lang w:eastAsia="ar-SA"/>
                    </w:rPr>
                    <w:lastRenderedPageBreak/>
                    <w:t>сумму            112 272 тыс. руб. (в том числе в местный бюджет - 89 817 тыс. руб.);</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u w:val="single"/>
                      <w:lang w:eastAsia="ar-SA"/>
                    </w:rPr>
                  </w:pPr>
                  <w:r w:rsidRPr="00A40CCE">
                    <w:rPr>
                      <w:rFonts w:ascii="Times New Roman" w:eastAsia="Times New Roman" w:hAnsi="Times New Roman" w:cs="Times New Roman"/>
                      <w:sz w:val="24"/>
                      <w:szCs w:val="24"/>
                      <w:u w:val="single"/>
                      <w:lang w:eastAsia="ar-SA"/>
                    </w:rPr>
                    <w:t>в части налоговых доходов:</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highlight w:val="yellow"/>
                      <w:lang w:eastAsia="ar-SA"/>
                    </w:rPr>
                  </w:pPr>
                  <w:r w:rsidRPr="00A40CCE">
                    <w:rPr>
                      <w:rFonts w:ascii="Times New Roman" w:eastAsia="Times New Roman" w:hAnsi="Times New Roman" w:cs="Times New Roman"/>
                      <w:sz w:val="24"/>
                      <w:szCs w:val="24"/>
                      <w:lang w:eastAsia="ar-SA"/>
                    </w:rPr>
                    <w:t>сотрудниками юридического управления администрации города оказана юридическая помощь налоговой инспекции в подготовке документов для взыскания задолженности через суд. За период с 10.05.2011 по 23.05.2011 подготовлено 751 заявление на выдачу судебных приказов на сумму 3 557 тыс. руб.</w:t>
                  </w:r>
                </w:p>
              </w:tc>
            </w:tr>
            <w:tr w:rsidR="00A40CCE" w:rsidRPr="00A40CCE" w:rsidTr="00361C8D">
              <w:tc>
                <w:tcPr>
                  <w:tcW w:w="2297" w:type="dxa"/>
                </w:tcPr>
                <w:p w:rsidR="00A40CCE" w:rsidRPr="00A40CCE" w:rsidRDefault="00A40CCE" w:rsidP="00A40CCE">
                  <w:pPr>
                    <w:spacing w:after="0" w:line="240" w:lineRule="auto"/>
                    <w:jc w:val="center"/>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lastRenderedPageBreak/>
                    <w:t>1.4.</w:t>
                  </w: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Принимать меры, направленные на эффективное управление и распоряжение в сфере имущественных и земельных отношений на территории города</w:t>
                  </w:r>
                </w:p>
              </w:tc>
              <w:tc>
                <w:tcPr>
                  <w:tcW w:w="8505" w:type="dxa"/>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назначено 24 аукциона в отношении  37 лотов на право заключения договоров аренды муниципальных нежилых помещений, из них состоялось 8 аукционов по 12 лотам. С победителями состоявшихся аукционов  заключено 13 договоров аренды муниципального имущества сроком действия на 5 лет на сумму арендной платы 8 009,1 тыс. руб., что на 472,5 тыс. руб. больше начальной цены (начального размера годовой арендной платы). По результатам организации несостоявшихся аукционов с единственными участниками заключено 10 договоров аренды муниципального имущества по начальной цене торгов на общую сумму 10 650,6 тыс. руб. Заключено 14 договоров купли-продажи муниципальной доли в праве общей долевой собственности на жилое помещение на общую сумму 5 076,0 тыс. руб.</w:t>
                  </w:r>
                </w:p>
              </w:tc>
            </w:tr>
            <w:tr w:rsidR="00A40CCE" w:rsidRPr="00A40CCE" w:rsidTr="00361C8D">
              <w:tc>
                <w:tcPr>
                  <w:tcW w:w="2297" w:type="dxa"/>
                </w:tcPr>
                <w:p w:rsidR="00A40CCE" w:rsidRPr="00A40CCE" w:rsidRDefault="00A40CCE" w:rsidP="00A40CCE">
                  <w:pPr>
                    <w:spacing w:after="0" w:line="240" w:lineRule="auto"/>
                    <w:ind w:hanging="64"/>
                    <w:jc w:val="center"/>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1.5.</w:t>
                  </w: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Продолжить работу по формированию и включению в государственный кадастр недвижимости земельных участков под многоквартирными домами в целях привлечения налогоплательщиков – собственников нежилых помещений, находящихся в многоквартирных домах, к уплате земельного налога</w:t>
                  </w:r>
                </w:p>
              </w:tc>
              <w:tc>
                <w:tcPr>
                  <w:tcW w:w="8505" w:type="dxa"/>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xml:space="preserve">на территории города Нижневартовска по состоянию на 01.10.2011 подлежат формированию за счет средств местного бюджета 562 земельных участка, занятых многоквартирными домами (за исключением многоквартирных домов,  расположенных в старой части и производственной зоне города; домов, включенных в программу сноса ветхого и фенольного жилья), в том числе земельные участки, выполнение работ по  которым запланировано на </w:t>
                  </w:r>
                  <w:r w:rsidRPr="00A40CCE">
                    <w:rPr>
                      <w:rFonts w:ascii="Times New Roman" w:eastAsia="Times New Roman" w:hAnsi="Times New Roman" w:cs="Times New Roman"/>
                      <w:sz w:val="24"/>
                      <w:szCs w:val="24"/>
                      <w:lang w:val="en-US" w:eastAsia="ar-SA"/>
                    </w:rPr>
                    <w:t>IV</w:t>
                  </w:r>
                  <w:r w:rsidRPr="00A40CCE">
                    <w:rPr>
                      <w:rFonts w:ascii="Times New Roman" w:eastAsia="Times New Roman" w:hAnsi="Times New Roman" w:cs="Times New Roman"/>
                      <w:sz w:val="24"/>
                      <w:szCs w:val="24"/>
                      <w:lang w:eastAsia="ar-SA"/>
                    </w:rPr>
                    <w:t xml:space="preserve"> квартал 2011 года.</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xml:space="preserve">09.09.2011 размещен заказ на выполнение работ по формированию 54 земельных участков, на которых расположены многоквартирные дома и иные входящие в состав дома объекты недвижимого имущества, путем проведения торгов  в форме открытого аукциона в электронной форме (заключение муниципального контракта запланировано на октябрь 2011 года,  окончание  выполнения работ – 24.12.2011). В рамках проведенной работы по формированию земельных участков, на которых расположены </w:t>
                  </w:r>
                  <w:r w:rsidRPr="00A40CCE">
                    <w:rPr>
                      <w:rFonts w:ascii="Times New Roman" w:eastAsia="Times New Roman" w:hAnsi="Times New Roman" w:cs="Times New Roman"/>
                      <w:sz w:val="24"/>
                      <w:szCs w:val="24"/>
                      <w:lang w:eastAsia="ar-SA"/>
                    </w:rPr>
                    <w:lastRenderedPageBreak/>
                    <w:t>многоквартирные дома в соответствии с муниципальными контрактами 2007-2011 годов, осуществлен государственный кадастровый учет 123 земельных участков, на которых расположено 199 многоквартирных домов. По состоянию на 01.10.2011 количество земельных участков, в отношении которых сведения внесены в государственный кадастр недвижимости, составляет 182 земельных участка.</w:t>
                  </w:r>
                </w:p>
              </w:tc>
            </w:tr>
            <w:tr w:rsidR="00A40CCE" w:rsidRPr="00A40CCE" w:rsidTr="00361C8D">
              <w:trPr>
                <w:trHeight w:val="2826"/>
              </w:trPr>
              <w:tc>
                <w:tcPr>
                  <w:tcW w:w="2297" w:type="dxa"/>
                </w:tcPr>
                <w:p w:rsidR="00A40CCE" w:rsidRPr="00A40CCE" w:rsidRDefault="00A40CCE" w:rsidP="00A40CCE">
                  <w:pPr>
                    <w:spacing w:after="0" w:line="240" w:lineRule="auto"/>
                    <w:jc w:val="center"/>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lastRenderedPageBreak/>
                    <w:t>1.6.</w:t>
                  </w: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В  целях повышения уровня администрирования доходов при исполнении бюджета города представлять ежеквартально в департамент финансов администрации города  аналитические материалы и пояснительную записку об исполнении плановых назначений и информацию о проведенных мероприятиях по увеличению доходов</w:t>
                  </w:r>
                </w:p>
              </w:tc>
              <w:tc>
                <w:tcPr>
                  <w:tcW w:w="8505" w:type="dxa"/>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информация представляется своевременно. По увеличению доходов городского бюджета проведены следующие мероприятия:</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1) между администрацией города и ОАО "ТНК-ВР Менеджмент" заключено соглашение о сотрудничестве  на сумму 68,2 млн. руб. Кроме того, 48 предприятий города подписали  аналогичные соглашения о сотрудничестве в рамках реализации социально значимых проектов для населения города. В бюджет города поступило 30 654 тыс. руб.;</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xml:space="preserve">2) еженедельно проводится работа по выявлению лиц, осуществлявших незарегистрированную предпринимательскую деятельность. В результате совместной работы </w:t>
                  </w:r>
                  <w:r w:rsidRPr="00A40CCE">
                    <w:rPr>
                      <w:rFonts w:ascii="Times New Roman" w:eastAsia="Times New Roman" w:hAnsi="Times New Roman" w:cs="Times New Roman"/>
                      <w:bCs/>
                      <w:sz w:val="24"/>
                      <w:szCs w:val="24"/>
                      <w:lang w:eastAsia="ar-SA"/>
                    </w:rPr>
                    <w:t>Управления Министерства внутренних дел Российской Федерации           по городу Нижневартовску</w:t>
                  </w:r>
                  <w:r w:rsidRPr="00A40CCE">
                    <w:rPr>
                      <w:rFonts w:ascii="Times New Roman" w:eastAsia="Times New Roman" w:hAnsi="Times New Roman" w:cs="Times New Roman"/>
                      <w:sz w:val="24"/>
                      <w:szCs w:val="24"/>
                      <w:lang w:eastAsia="ar-SA"/>
                    </w:rPr>
                    <w:t>, департамента жилищно-коммунального хозяйства администрации города, казенного учреждения ХМАО - Югры "Нижневартовский Центр занятости населения", управления социальной защиты населения по г. Нижневартовску и Нижневартовскому району Департамента социального развития ХМАО - Югры по состоянию на 30.09.2011  выявлено 347</w:t>
                  </w:r>
                  <w:r w:rsidRPr="00A40CCE">
                    <w:rPr>
                      <w:rFonts w:ascii="Times New Roman" w:eastAsia="Times New Roman" w:hAnsi="Times New Roman" w:cs="Times New Roman"/>
                      <w:color w:val="FF0000"/>
                      <w:sz w:val="24"/>
                      <w:szCs w:val="24"/>
                      <w:lang w:eastAsia="ar-SA"/>
                    </w:rPr>
                    <w:t xml:space="preserve"> </w:t>
                  </w:r>
                  <w:r w:rsidRPr="00A40CCE">
                    <w:rPr>
                      <w:rFonts w:ascii="Times New Roman" w:eastAsia="Times New Roman" w:hAnsi="Times New Roman" w:cs="Times New Roman"/>
                      <w:sz w:val="24"/>
                      <w:szCs w:val="24"/>
                      <w:lang w:eastAsia="ar-SA"/>
                    </w:rPr>
                    <w:t xml:space="preserve">человек, за </w:t>
                  </w:r>
                  <w:r w:rsidRPr="00A40CCE">
                    <w:rPr>
                      <w:rFonts w:ascii="Times New Roman" w:eastAsia="Times New Roman" w:hAnsi="Times New Roman" w:cs="Times New Roman"/>
                      <w:sz w:val="24"/>
                      <w:szCs w:val="24"/>
                      <w:lang w:val="en-US" w:eastAsia="ar-SA"/>
                    </w:rPr>
                    <w:t>III</w:t>
                  </w:r>
                  <w:r w:rsidRPr="00A40CCE">
                    <w:rPr>
                      <w:rFonts w:ascii="Times New Roman" w:eastAsia="Times New Roman" w:hAnsi="Times New Roman" w:cs="Times New Roman"/>
                      <w:sz w:val="24"/>
                      <w:szCs w:val="24"/>
                      <w:lang w:eastAsia="ar-SA"/>
                    </w:rPr>
                    <w:t xml:space="preserve"> квартал 2011 года - 127 человек. Списки таких лиц переданы в МРИ ФНС России №6 по ХМАО - Югре для оформления налоговых деклараций, а также в казенное учреждение ХМАО - Югры "Нижневартовский Центр занятости населения" и управление социальной защиты населения по г. Нижневартовску и Нижневартовскому району Департамента социального развития ХМАО - Югры для сверки со списками получателей пособий. Всем гражданам, осуществлявшим незарегистрированную предпринимательскую деятельность, направлены уведомления о необходимости представления налоговой отчетности по уплате налогов с полученных доходов. С начала года представлено 72 декларации о доходах от сдачи имущества  в аренду, сумма налога составила 838,5 тыс. руб., в </w:t>
                  </w:r>
                  <w:r w:rsidRPr="00A40CCE">
                    <w:rPr>
                      <w:rFonts w:ascii="Times New Roman" w:eastAsia="Times New Roman" w:hAnsi="Times New Roman" w:cs="Times New Roman"/>
                      <w:sz w:val="24"/>
                      <w:szCs w:val="24"/>
                      <w:lang w:val="en-US" w:eastAsia="ar-SA"/>
                    </w:rPr>
                    <w:t>III</w:t>
                  </w:r>
                  <w:r w:rsidRPr="00A40CCE">
                    <w:rPr>
                      <w:rFonts w:ascii="Times New Roman" w:eastAsia="Times New Roman" w:hAnsi="Times New Roman" w:cs="Times New Roman"/>
                      <w:sz w:val="24"/>
                      <w:szCs w:val="24"/>
                      <w:lang w:eastAsia="ar-SA"/>
                    </w:rPr>
                    <w:t xml:space="preserve"> квартале 2011 года – 326,5 тыс. руб.; </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lastRenderedPageBreak/>
                    <w:t xml:space="preserve">3) выявлено 14 объектов недвижимости, ранее не состоявших на учете в инспекции. В результате чего собственникам начислен налог на имущество физических лиц в сумме 20 тыс. руб.;  </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ru-RU"/>
                    </w:rPr>
                  </w:pPr>
                  <w:r w:rsidRPr="00A40CCE">
                    <w:rPr>
                      <w:rFonts w:ascii="Times New Roman" w:eastAsia="Times New Roman" w:hAnsi="Times New Roman" w:cs="Times New Roman"/>
                      <w:sz w:val="24"/>
                      <w:szCs w:val="24"/>
                      <w:lang w:eastAsia="ru-RU"/>
                    </w:rPr>
                    <w:t xml:space="preserve">4) в течение </w:t>
                  </w:r>
                  <w:r w:rsidRPr="00A40CCE">
                    <w:rPr>
                      <w:rFonts w:ascii="Times New Roman" w:eastAsia="Times New Roman" w:hAnsi="Times New Roman" w:cs="Times New Roman"/>
                      <w:sz w:val="24"/>
                      <w:szCs w:val="24"/>
                      <w:lang w:val="en-US" w:eastAsia="ru-RU"/>
                    </w:rPr>
                    <w:t>II</w:t>
                  </w:r>
                  <w:r w:rsidRPr="00A40CCE">
                    <w:rPr>
                      <w:rFonts w:ascii="Times New Roman" w:eastAsia="Times New Roman" w:hAnsi="Times New Roman" w:cs="Times New Roman"/>
                      <w:sz w:val="24"/>
                      <w:szCs w:val="24"/>
                      <w:lang w:eastAsia="ru-RU"/>
                    </w:rPr>
                    <w:t xml:space="preserve"> квартала 2011 года выявлено 3 транспортных средства, принадлежащих налогоплательщикам - физическим лицам, которым не был исчислен  налог за период  с 2008 по 2010 год. В результате проделанной работы   начислен транспортный налог в сумме 5,3 тыс. руб.;</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ru-RU"/>
                    </w:rPr>
                  </w:pPr>
                  <w:r w:rsidRPr="00A40CCE">
                    <w:rPr>
                      <w:rFonts w:ascii="Times New Roman" w:eastAsia="Times New Roman" w:hAnsi="Times New Roman" w:cs="Times New Roman"/>
                      <w:sz w:val="24"/>
                      <w:szCs w:val="24"/>
                      <w:lang w:eastAsia="ru-RU"/>
                    </w:rPr>
                    <w:t>5) в</w:t>
                  </w:r>
                  <w:r w:rsidRPr="00A40CCE">
                    <w:rPr>
                      <w:rFonts w:ascii="Times New Roman" w:eastAsia="Times New Roman" w:hAnsi="Times New Roman" w:cs="Times New Roman"/>
                      <w:sz w:val="24"/>
                      <w:szCs w:val="24"/>
                      <w:lang w:val="x-none" w:eastAsia="ar-SA"/>
                    </w:rPr>
                    <w:t xml:space="preserve"> соответствии с Протоколом  совещания по легализации доходов граждан </w:t>
                  </w:r>
                  <w:r w:rsidRPr="00A40CCE">
                    <w:rPr>
                      <w:rFonts w:ascii="Times New Roman" w:eastAsia="Times New Roman" w:hAnsi="Times New Roman" w:cs="Times New Roman"/>
                      <w:sz w:val="24"/>
                      <w:szCs w:val="24"/>
                      <w:lang w:eastAsia="ar-SA"/>
                    </w:rPr>
                    <w:t xml:space="preserve">            </w:t>
                  </w:r>
                  <w:r w:rsidRPr="00A40CCE">
                    <w:rPr>
                      <w:rFonts w:ascii="Times New Roman" w:eastAsia="Times New Roman" w:hAnsi="Times New Roman" w:cs="Times New Roman"/>
                      <w:sz w:val="24"/>
                      <w:szCs w:val="24"/>
                      <w:lang w:val="x-none" w:eastAsia="ar-SA"/>
                    </w:rPr>
                    <w:t xml:space="preserve">в рамках Антикризисного Совета при </w:t>
                  </w:r>
                  <w:r w:rsidRPr="00A40CCE">
                    <w:rPr>
                      <w:rFonts w:ascii="Times New Roman" w:eastAsia="Times New Roman" w:hAnsi="Times New Roman" w:cs="Times New Roman"/>
                      <w:sz w:val="24"/>
                      <w:szCs w:val="24"/>
                      <w:lang w:eastAsia="ar-SA"/>
                    </w:rPr>
                    <w:t>г</w:t>
                  </w:r>
                  <w:r w:rsidRPr="00A40CCE">
                    <w:rPr>
                      <w:rFonts w:ascii="Times New Roman" w:eastAsia="Times New Roman" w:hAnsi="Times New Roman" w:cs="Times New Roman"/>
                      <w:sz w:val="24"/>
                      <w:szCs w:val="24"/>
                      <w:lang w:val="x-none" w:eastAsia="ar-SA"/>
                    </w:rPr>
                    <w:t xml:space="preserve">лаве города от </w:t>
                  </w:r>
                  <w:r w:rsidRPr="00A40CCE">
                    <w:rPr>
                      <w:rFonts w:ascii="Times New Roman" w:eastAsia="Times New Roman" w:hAnsi="Times New Roman" w:cs="Times New Roman"/>
                      <w:sz w:val="24"/>
                      <w:szCs w:val="24"/>
                      <w:lang w:eastAsia="ar-SA"/>
                    </w:rPr>
                    <w:t>0</w:t>
                  </w:r>
                  <w:r w:rsidRPr="00A40CCE">
                    <w:rPr>
                      <w:rFonts w:ascii="Times New Roman" w:eastAsia="Times New Roman" w:hAnsi="Times New Roman" w:cs="Times New Roman"/>
                      <w:sz w:val="24"/>
                      <w:szCs w:val="24"/>
                      <w:lang w:val="x-none" w:eastAsia="ar-SA"/>
                    </w:rPr>
                    <w:t>2</w:t>
                  </w:r>
                  <w:r w:rsidRPr="00A40CCE">
                    <w:rPr>
                      <w:rFonts w:ascii="Times New Roman" w:eastAsia="Times New Roman" w:hAnsi="Times New Roman" w:cs="Times New Roman"/>
                      <w:sz w:val="24"/>
                      <w:szCs w:val="24"/>
                      <w:lang w:eastAsia="ar-SA"/>
                    </w:rPr>
                    <w:t>.07.</w:t>
                  </w:r>
                  <w:r w:rsidRPr="00A40CCE">
                    <w:rPr>
                      <w:rFonts w:ascii="Times New Roman" w:eastAsia="Times New Roman" w:hAnsi="Times New Roman" w:cs="Times New Roman"/>
                      <w:sz w:val="24"/>
                      <w:szCs w:val="24"/>
                      <w:lang w:val="x-none" w:eastAsia="ar-SA"/>
                    </w:rPr>
                    <w:t xml:space="preserve">2010 </w:t>
                  </w:r>
                  <w:r w:rsidRPr="00A40CCE">
                    <w:rPr>
                      <w:rFonts w:ascii="Times New Roman" w:eastAsia="Times New Roman" w:hAnsi="Times New Roman" w:cs="Times New Roman"/>
                      <w:sz w:val="24"/>
                      <w:szCs w:val="24"/>
                      <w:lang w:eastAsia="ar-SA"/>
                    </w:rPr>
                    <w:t xml:space="preserve">                           </w:t>
                  </w:r>
                  <w:r w:rsidRPr="00A40CCE">
                    <w:rPr>
                      <w:rFonts w:ascii="Times New Roman" w:eastAsia="Times New Roman" w:hAnsi="Times New Roman" w:cs="Times New Roman"/>
                      <w:sz w:val="24"/>
                      <w:szCs w:val="24"/>
                      <w:lang w:val="x-none" w:eastAsia="ar-SA"/>
                    </w:rPr>
                    <w:t xml:space="preserve">из департамента жилищно-коммунального хозяйства администрации города </w:t>
                  </w:r>
                  <w:r w:rsidRPr="00A40CCE">
                    <w:rPr>
                      <w:rFonts w:ascii="Times New Roman" w:eastAsia="Times New Roman" w:hAnsi="Times New Roman" w:cs="Times New Roman"/>
                      <w:sz w:val="24"/>
                      <w:szCs w:val="24"/>
                      <w:lang w:eastAsia="ar-SA"/>
                    </w:rPr>
                    <w:t xml:space="preserve">               </w:t>
                  </w:r>
                  <w:r w:rsidRPr="00A40CCE">
                    <w:rPr>
                      <w:rFonts w:ascii="Times New Roman" w:eastAsia="Times New Roman" w:hAnsi="Times New Roman" w:cs="Times New Roman"/>
                      <w:sz w:val="24"/>
                      <w:szCs w:val="24"/>
                      <w:lang w:val="x-none" w:eastAsia="ar-SA"/>
                    </w:rPr>
                    <w:t>за период с 11.01.2011 по 27.09.2011 поступила информация о сдаче имущества (квартир, комнат) в аренду и регистрации на 156 граждан.</w:t>
                  </w:r>
                  <w:r w:rsidRPr="00A40CCE">
                    <w:rPr>
                      <w:rFonts w:ascii="Times New Roman" w:eastAsia="Times New Roman" w:hAnsi="Times New Roman" w:cs="Times New Roman"/>
                      <w:sz w:val="24"/>
                      <w:szCs w:val="24"/>
                      <w:lang w:eastAsia="ar-SA"/>
                    </w:rPr>
                    <w:t xml:space="preserve"> </w:t>
                  </w:r>
                  <w:r w:rsidRPr="00A40CCE">
                    <w:rPr>
                      <w:rFonts w:ascii="Times New Roman" w:eastAsia="Times New Roman" w:hAnsi="Times New Roman" w:cs="Times New Roman"/>
                      <w:sz w:val="24"/>
                      <w:szCs w:val="24"/>
                      <w:lang w:val="x-none" w:eastAsia="ar-SA"/>
                    </w:rPr>
                    <w:t>Вышеуказанным  гражданам были направлены уведомления о необходимости представления декларации о доходах за 2008-2010 годы. В ответ были представлены 72 декларации о доходах от сдачи имущества в аренду и регистрации на своей территории. Сумма налога на доходы к уплате составила 838,5 тыс. руб.</w:t>
                  </w:r>
                  <w:r w:rsidRPr="00A40CCE">
                    <w:rPr>
                      <w:rFonts w:ascii="Times New Roman" w:eastAsia="Times New Roman" w:hAnsi="Times New Roman" w:cs="Times New Roman"/>
                      <w:sz w:val="24"/>
                      <w:szCs w:val="24"/>
                      <w:lang w:eastAsia="ar-SA"/>
                    </w:rPr>
                    <w:t xml:space="preserve"> </w:t>
                  </w:r>
                  <w:r w:rsidRPr="00A40CCE">
                    <w:rPr>
                      <w:rFonts w:ascii="Times New Roman" w:eastAsia="Times New Roman" w:hAnsi="Times New Roman" w:cs="Times New Roman"/>
                      <w:sz w:val="24"/>
                      <w:szCs w:val="24"/>
                      <w:lang w:val="x-none" w:eastAsia="ar-SA"/>
                    </w:rPr>
                    <w:t>От продажи имущества (квартир, транспорта, иного имущества) в 2008-2010 годах дополнительно привлечено к декларированию 364 физических лиц</w:t>
                  </w:r>
                  <w:r w:rsidRPr="00A40CCE">
                    <w:rPr>
                      <w:rFonts w:ascii="Times New Roman" w:eastAsia="Times New Roman" w:hAnsi="Times New Roman" w:cs="Times New Roman"/>
                      <w:sz w:val="24"/>
                      <w:szCs w:val="24"/>
                      <w:lang w:eastAsia="ar-SA"/>
                    </w:rPr>
                    <w:t>а</w:t>
                  </w:r>
                  <w:r w:rsidRPr="00A40CCE">
                    <w:rPr>
                      <w:rFonts w:ascii="Times New Roman" w:eastAsia="Times New Roman" w:hAnsi="Times New Roman" w:cs="Times New Roman"/>
                      <w:sz w:val="24"/>
                      <w:szCs w:val="24"/>
                      <w:lang w:val="x-none" w:eastAsia="ar-SA"/>
                    </w:rPr>
                    <w:t>, сумма налога на доходы этих физических лиц к доплате составила 889 тыс. руб.</w:t>
                  </w:r>
                  <w:r w:rsidRPr="00A40CCE">
                    <w:rPr>
                      <w:rFonts w:ascii="Times New Roman" w:eastAsia="Times New Roman" w:hAnsi="Times New Roman" w:cs="Times New Roman"/>
                      <w:sz w:val="24"/>
                      <w:szCs w:val="24"/>
                      <w:lang w:eastAsia="ru-RU"/>
                    </w:rPr>
                    <w:t>;</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ru-RU"/>
                    </w:rPr>
                  </w:pPr>
                  <w:r w:rsidRPr="00A40CCE">
                    <w:rPr>
                      <w:rFonts w:ascii="Times New Roman" w:eastAsia="Times New Roman" w:hAnsi="Times New Roman" w:cs="Times New Roman"/>
                      <w:sz w:val="24"/>
                      <w:szCs w:val="24"/>
                      <w:lang w:eastAsia="ru-RU"/>
                    </w:rPr>
                    <w:t>6) информация о владельцах транспортных средств (112 налогоплательщиков), предоставляющих услуги городского транспорта, направлена в МРИ ФНС России №6 по ХМАО - Югре для проведения контрольной работы (сопоставление данной информации и сведений, представленных в декларациях по единому налогу на вмененный доход для отдельных видов деятельности). Налогоплательщикам направлено 57 сообщений с требованием представления пояснений                        о расхождениях по количеству объектов налогообложения;</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ru-RU"/>
                    </w:rPr>
                  </w:pPr>
                  <w:r w:rsidRPr="00A40CCE">
                    <w:rPr>
                      <w:rFonts w:ascii="Times New Roman" w:eastAsia="Times New Roman" w:hAnsi="Times New Roman" w:cs="Times New Roman"/>
                      <w:sz w:val="24"/>
                      <w:szCs w:val="24"/>
                      <w:lang w:eastAsia="ar-SA"/>
                    </w:rPr>
                    <w:t>7) в</w:t>
                  </w:r>
                  <w:r w:rsidRPr="00A40CCE">
                    <w:rPr>
                      <w:rFonts w:ascii="Times New Roman" w:eastAsia="Times New Roman" w:hAnsi="Times New Roman" w:cs="Times New Roman"/>
                      <w:sz w:val="24"/>
                      <w:szCs w:val="24"/>
                      <w:lang w:val="x-none" w:eastAsia="ar-SA"/>
                    </w:rPr>
                    <w:t xml:space="preserve"> отчетном периоде подготовлено и заключено 7 договоров купли-продажи арендуемого муниципального имущества на общую сумму 34</w:t>
                  </w:r>
                  <w:r w:rsidRPr="00A40CCE">
                    <w:rPr>
                      <w:rFonts w:ascii="Times New Roman" w:eastAsia="Times New Roman" w:hAnsi="Times New Roman" w:cs="Times New Roman"/>
                      <w:sz w:val="24"/>
                      <w:szCs w:val="24"/>
                      <w:lang w:eastAsia="ar-SA"/>
                    </w:rPr>
                    <w:t xml:space="preserve"> </w:t>
                  </w:r>
                  <w:r w:rsidRPr="00A40CCE">
                    <w:rPr>
                      <w:rFonts w:ascii="Times New Roman" w:eastAsia="Times New Roman" w:hAnsi="Times New Roman" w:cs="Times New Roman"/>
                      <w:sz w:val="24"/>
                      <w:szCs w:val="24"/>
                      <w:lang w:val="x-none" w:eastAsia="ar-SA"/>
                    </w:rPr>
                    <w:t>948,3 тыс. руб</w:t>
                  </w:r>
                  <w:r w:rsidRPr="00A40CCE">
                    <w:rPr>
                      <w:rFonts w:ascii="Times New Roman" w:eastAsia="Times New Roman" w:hAnsi="Times New Roman" w:cs="Times New Roman"/>
                      <w:sz w:val="24"/>
                      <w:szCs w:val="24"/>
                      <w:lang w:eastAsia="ar-SA"/>
                    </w:rPr>
                    <w:t>.</w:t>
                  </w:r>
                  <w:r w:rsidRPr="00A40CCE">
                    <w:rPr>
                      <w:rFonts w:ascii="Times New Roman" w:eastAsia="Times New Roman" w:hAnsi="Times New Roman" w:cs="Times New Roman"/>
                      <w:sz w:val="24"/>
                      <w:szCs w:val="24"/>
                      <w:lang w:val="x-none" w:eastAsia="ar-SA"/>
                    </w:rPr>
                    <w:t xml:space="preserve"> в рамках реализации преимущественного права на выкуп, предусмотренного федеральным законодательством</w:t>
                  </w:r>
                  <w:r w:rsidRPr="00A40CCE">
                    <w:rPr>
                      <w:rFonts w:ascii="Times New Roman" w:eastAsia="Times New Roman" w:hAnsi="Times New Roman" w:cs="Times New Roman"/>
                      <w:sz w:val="24"/>
                      <w:szCs w:val="24"/>
                      <w:lang w:eastAsia="ar-SA"/>
                    </w:rPr>
                    <w:t>;</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bCs/>
                      <w:sz w:val="24"/>
                      <w:szCs w:val="24"/>
                      <w:lang w:eastAsia="ar-SA"/>
                    </w:rPr>
                    <w:t xml:space="preserve">8) </w:t>
                  </w:r>
                  <w:r w:rsidRPr="00A40CCE">
                    <w:rPr>
                      <w:rFonts w:ascii="Times New Roman" w:eastAsia="Times New Roman" w:hAnsi="Times New Roman" w:cs="Times New Roman"/>
                      <w:sz w:val="24"/>
                      <w:szCs w:val="24"/>
                      <w:lang w:eastAsia="ar-SA"/>
                    </w:rPr>
                    <w:t>п</w:t>
                  </w:r>
                  <w:r w:rsidRPr="00A40CCE">
                    <w:rPr>
                      <w:rFonts w:ascii="Times New Roman" w:eastAsia="Times New Roman" w:hAnsi="Times New Roman" w:cs="Times New Roman"/>
                      <w:bCs/>
                      <w:sz w:val="24"/>
                      <w:szCs w:val="24"/>
                      <w:lang w:eastAsia="ar-SA"/>
                    </w:rPr>
                    <w:t xml:space="preserve">роведено 223 выездных обследования, в ходе которых выявлено </w:t>
                  </w:r>
                  <w:r w:rsidRPr="00A40CCE">
                    <w:rPr>
                      <w:rFonts w:ascii="Times New Roman" w:eastAsia="Times New Roman" w:hAnsi="Times New Roman" w:cs="Times New Roman"/>
                      <w:sz w:val="24"/>
                      <w:szCs w:val="24"/>
                      <w:lang w:eastAsia="ar-SA"/>
                    </w:rPr>
                    <w:t xml:space="preserve">56 фактов самовольного занятия земельных участков. В результате предъявлено 49 </w:t>
                  </w:r>
                  <w:r w:rsidRPr="00A40CCE">
                    <w:rPr>
                      <w:rFonts w:ascii="Times New Roman" w:eastAsia="Times New Roman" w:hAnsi="Times New Roman" w:cs="Times New Roman"/>
                      <w:sz w:val="24"/>
                      <w:szCs w:val="24"/>
                      <w:lang w:eastAsia="ar-SA"/>
                    </w:rPr>
                    <w:lastRenderedPageBreak/>
                    <w:t>претензий о возмещении стоимости неосновательного обогащения в связи с использованием земельных участков без правоустанавливающих и правоудостоверяющих документов на сумму 14 422 тыс. руб. (в том числе в местный бюджет - 11 538 тыс. руб.), из них оплачено 5 244 тыс. руб. (в том числе в местный бюджет - 4 195 тыс. руб.);</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9) завершены работы по обследованию 98 гаражно-строительных кооперативов, в результате выявлено 5 фактов использования земельных участков без оформленных в установленном порядке правоустанавливающих документов на землю. Сводная информация направлена для исполнения и принятия решений в адрес служб, участвовавших в проведении мероприятий по инвентаризации;</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ru-RU"/>
                    </w:rPr>
                  </w:pPr>
                  <w:r w:rsidRPr="00A40CCE">
                    <w:rPr>
                      <w:rFonts w:ascii="Times New Roman" w:eastAsia="Times New Roman" w:hAnsi="Times New Roman" w:cs="Times New Roman"/>
                      <w:sz w:val="24"/>
                      <w:szCs w:val="24"/>
                      <w:lang w:val="x-none" w:eastAsia="ar-SA"/>
                    </w:rPr>
                    <w:t>10</w:t>
                  </w:r>
                  <w:r w:rsidRPr="00A40CCE">
                    <w:rPr>
                      <w:rFonts w:ascii="Times New Roman" w:eastAsia="Times New Roman" w:hAnsi="Times New Roman" w:cs="Times New Roman"/>
                      <w:sz w:val="24"/>
                      <w:szCs w:val="24"/>
                      <w:lang w:eastAsia="ar-SA"/>
                    </w:rPr>
                    <w:t>)</w:t>
                  </w:r>
                  <w:r w:rsidRPr="00A40CCE">
                    <w:rPr>
                      <w:rFonts w:ascii="Times New Roman" w:eastAsia="Times New Roman" w:hAnsi="Times New Roman" w:cs="Times New Roman"/>
                      <w:sz w:val="24"/>
                      <w:szCs w:val="24"/>
                      <w:lang w:val="x-none" w:eastAsia="ar-SA"/>
                    </w:rPr>
                    <w:t xml:space="preserve"> </w:t>
                  </w:r>
                  <w:r w:rsidRPr="00A40CCE">
                    <w:rPr>
                      <w:rFonts w:ascii="Times New Roman" w:eastAsia="Times New Roman" w:hAnsi="Times New Roman" w:cs="Times New Roman"/>
                      <w:sz w:val="24"/>
                      <w:szCs w:val="24"/>
                      <w:lang w:eastAsia="ar-SA"/>
                    </w:rPr>
                    <w:t>в</w:t>
                  </w:r>
                  <w:r w:rsidRPr="00A40CCE">
                    <w:rPr>
                      <w:rFonts w:ascii="Times New Roman" w:eastAsia="Times New Roman" w:hAnsi="Times New Roman" w:cs="Times New Roman"/>
                      <w:sz w:val="24"/>
                      <w:szCs w:val="24"/>
                      <w:lang w:eastAsia="ru-RU"/>
                    </w:rPr>
                    <w:t xml:space="preserve"> рамках рекомендаций заседания комиссии по мобилизации доходов                   от 20.05.2010 в МРИ ФНС России №6 по ХМАО - Югре передан перечень юридических и физических лиц, арендовавших у бюджетных учреждений и управляющих компаний помещения для проведения выставок, семинаров и др. мероприятий за 2010 год. В ходе проведения анализа представленной информации выявлено: </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ru-RU"/>
                    </w:rPr>
                  </w:pPr>
                  <w:r w:rsidRPr="00A40CCE">
                    <w:rPr>
                      <w:rFonts w:ascii="Times New Roman" w:eastAsia="Times New Roman" w:hAnsi="Times New Roman" w:cs="Times New Roman"/>
                      <w:sz w:val="24"/>
                      <w:szCs w:val="24"/>
                      <w:lang w:eastAsia="ru-RU"/>
                    </w:rPr>
                    <w:t>- 4 налогоплательщика, не состоящих на учете в МРИ ФНС России №6              по ХМАО - Югре;</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ru-RU"/>
                    </w:rPr>
                    <w:t xml:space="preserve">- 4 налогоплательщика, не зарегистрированных в качестве индивидуальных предпринимателей  </w:t>
                  </w:r>
                </w:p>
              </w:tc>
            </w:tr>
            <w:tr w:rsidR="00A40CCE" w:rsidRPr="00A40CCE" w:rsidTr="00361C8D">
              <w:trPr>
                <w:trHeight w:val="559"/>
              </w:trPr>
              <w:tc>
                <w:tcPr>
                  <w:tcW w:w="2297" w:type="dxa"/>
                </w:tcPr>
                <w:p w:rsidR="00A40CCE" w:rsidRPr="00A40CCE" w:rsidRDefault="00A40CCE" w:rsidP="00A40CCE">
                  <w:pPr>
                    <w:spacing w:after="0" w:line="240" w:lineRule="auto"/>
                    <w:jc w:val="center"/>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lastRenderedPageBreak/>
                    <w:t>2.</w:t>
                  </w: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Главным распорядителям средств бюджета города:</w:t>
                  </w:r>
                </w:p>
              </w:tc>
              <w:tc>
                <w:tcPr>
                  <w:tcW w:w="8505" w:type="dxa"/>
                </w:tcPr>
                <w:p w:rsidR="00A40CCE" w:rsidRPr="00A40CCE" w:rsidRDefault="00A40CCE" w:rsidP="00A40CCE">
                  <w:pPr>
                    <w:spacing w:after="0" w:line="240" w:lineRule="auto"/>
                    <w:contextualSpacing/>
                    <w:rPr>
                      <w:rFonts w:ascii="Times New Roman" w:eastAsia="Times New Roman" w:hAnsi="Times New Roman" w:cs="Times New Roman"/>
                      <w:sz w:val="24"/>
                      <w:szCs w:val="24"/>
                      <w:lang w:eastAsia="ar-SA"/>
                    </w:rPr>
                  </w:pPr>
                </w:p>
              </w:tc>
            </w:tr>
            <w:tr w:rsidR="00A40CCE" w:rsidRPr="00A40CCE" w:rsidTr="00361C8D">
              <w:trPr>
                <w:trHeight w:val="264"/>
              </w:trPr>
              <w:tc>
                <w:tcPr>
                  <w:tcW w:w="2297" w:type="dxa"/>
                </w:tcPr>
                <w:p w:rsidR="00A40CCE" w:rsidRPr="00A40CCE" w:rsidRDefault="00A40CCE" w:rsidP="00A40CCE">
                  <w:pPr>
                    <w:spacing w:after="0" w:line="240" w:lineRule="auto"/>
                    <w:jc w:val="center"/>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2.1.</w:t>
                  </w: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Обеспечить:</w:t>
                  </w:r>
                </w:p>
              </w:tc>
              <w:tc>
                <w:tcPr>
                  <w:tcW w:w="8505" w:type="dxa"/>
                </w:tcPr>
                <w:p w:rsidR="00A40CCE" w:rsidRPr="00A40CCE" w:rsidRDefault="00A40CCE" w:rsidP="00A40CCE">
                  <w:pPr>
                    <w:spacing w:after="0" w:line="240" w:lineRule="auto"/>
                    <w:contextualSpacing/>
                    <w:rPr>
                      <w:rFonts w:ascii="Times New Roman" w:eastAsia="Times New Roman" w:hAnsi="Times New Roman" w:cs="Times New Roman"/>
                      <w:sz w:val="24"/>
                      <w:szCs w:val="24"/>
                      <w:lang w:eastAsia="ar-SA"/>
                    </w:rPr>
                  </w:pPr>
                </w:p>
              </w:tc>
            </w:tr>
            <w:tr w:rsidR="00A40CCE" w:rsidRPr="00A40CCE" w:rsidTr="00361C8D">
              <w:tc>
                <w:tcPr>
                  <w:tcW w:w="2297" w:type="dxa"/>
                </w:tcPr>
                <w:p w:rsidR="00A40CCE" w:rsidRPr="00A40CCE" w:rsidRDefault="00A40CCE" w:rsidP="00A40CCE">
                  <w:pPr>
                    <w:spacing w:after="0" w:line="240" w:lineRule="auto"/>
                    <w:jc w:val="center"/>
                    <w:rPr>
                      <w:rFonts w:ascii="Times New Roman" w:eastAsia="Times New Roman" w:hAnsi="Times New Roman" w:cs="Times New Roman"/>
                      <w:sz w:val="24"/>
                      <w:szCs w:val="24"/>
                      <w:lang w:eastAsia="ar-SA"/>
                    </w:rPr>
                  </w:pP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исполнение бюджета города с учетом основных направлений налоговой и бюджетной политики города Нижневартовска на 2011 год и на плановый период 2012 и 2013 годов</w:t>
                  </w:r>
                </w:p>
              </w:tc>
              <w:tc>
                <w:tcPr>
                  <w:tcW w:w="8505" w:type="dxa"/>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ru-RU"/>
                    </w:rPr>
                  </w:pPr>
                  <w:r w:rsidRPr="00A40CCE">
                    <w:rPr>
                      <w:rFonts w:ascii="Times New Roman" w:eastAsia="Times New Roman" w:hAnsi="Times New Roman" w:cs="Times New Roman"/>
                      <w:bCs/>
                      <w:sz w:val="24"/>
                      <w:szCs w:val="24"/>
                      <w:lang w:eastAsia="ru-RU"/>
                    </w:rPr>
                    <w:t xml:space="preserve">по состоянию на 01.10.2011 бюджет города исполнен по доходам в сумме 9 049  млн. руб. или на 73% от плана (12 349 млн. руб.), по расходам 8 764 млн. руб. или на 66% от плановых назначений (13 338 млн. руб.). По итогам 9 месяцев  2011 года сложился профицит бюджета в сумме 285 млн. руб. </w:t>
                  </w:r>
                  <w:r w:rsidRPr="00A40CCE">
                    <w:rPr>
                      <w:rFonts w:ascii="Times New Roman" w:eastAsia="Times New Roman" w:hAnsi="Times New Roman" w:cs="Times New Roman"/>
                      <w:sz w:val="24"/>
                      <w:szCs w:val="24"/>
                      <w:lang w:eastAsia="ru-RU"/>
                    </w:rPr>
                    <w:t xml:space="preserve">Расходная часть бюджета города в 2011 году, как и в предыдущем году, сохранила свою социальную направленность. На отрасли социально-культурной сферы направлено  5 593 млн. руб. или 64% от общего объема расходов. Расходы, направленные на финансирование отраслей производственной сферы, составили 1 866 млн. руб.  или 21% от общего объема расходов бюджета города. По прочим расходам исполнение составило 1 305 млн. руб. или 15% </w:t>
                  </w:r>
                  <w:r w:rsidRPr="00A40CCE">
                    <w:rPr>
                      <w:rFonts w:ascii="Times New Roman" w:eastAsia="Times New Roman" w:hAnsi="Times New Roman" w:cs="Times New Roman"/>
                      <w:sz w:val="24"/>
                      <w:szCs w:val="24"/>
                      <w:lang w:eastAsia="ru-RU"/>
                    </w:rPr>
                    <w:lastRenderedPageBreak/>
                    <w:t xml:space="preserve">(общегосударственные расходы, правоохранительная деятельность, средства массовой информации, обслуживание муниципального долга). На предоставление бюджетных инвестиций в объекты муниципальной собственности направлено 792 млн. руб. По состоянию на 01.10.2011 привлечены заемные средства в сумме 133 млн. руб., муниципальный долг составил 169 млн. руб. Расходы на реализацию городских программ исполнены в сумме  410 млн. руб. или 61% к уточненному плану на год, региональных программ – 762 млн. руб. или 56% к уточненному плану на год </w:t>
                  </w:r>
                </w:p>
              </w:tc>
            </w:tr>
            <w:tr w:rsidR="00A40CCE" w:rsidRPr="00A40CCE" w:rsidTr="00361C8D">
              <w:tc>
                <w:tcPr>
                  <w:tcW w:w="2297" w:type="dxa"/>
                </w:tcPr>
                <w:p w:rsidR="00A40CCE" w:rsidRPr="00A40CCE" w:rsidRDefault="00A40CCE" w:rsidP="00A40CCE">
                  <w:pPr>
                    <w:spacing w:after="0" w:line="240" w:lineRule="auto"/>
                    <w:ind w:firstLine="284"/>
                    <w:jc w:val="center"/>
                    <w:rPr>
                      <w:rFonts w:ascii="Times New Roman" w:eastAsia="Times New Roman" w:hAnsi="Times New Roman" w:cs="Times New Roman"/>
                      <w:sz w:val="24"/>
                      <w:szCs w:val="24"/>
                      <w:lang w:eastAsia="ar-SA"/>
                    </w:rPr>
                  </w:pP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в пределах доведенных лимитов бюджетных обязательств безусловное исполнение бюджетных обязательств</w:t>
                  </w:r>
                </w:p>
              </w:tc>
              <w:tc>
                <w:tcPr>
                  <w:tcW w:w="8505" w:type="dxa"/>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ru-RU"/>
                    </w:rPr>
                  </w:pPr>
                  <w:r w:rsidRPr="00A40CCE">
                    <w:rPr>
                      <w:rFonts w:ascii="Times New Roman" w:eastAsia="Times New Roman" w:hAnsi="Times New Roman" w:cs="Times New Roman"/>
                      <w:sz w:val="24"/>
                      <w:szCs w:val="24"/>
                      <w:lang w:eastAsia="ru-RU"/>
                    </w:rPr>
                    <w:t>исполнение бюджетных обязательств бюджета города осуществляется в пределах доведенных лимитов бюджетных обязательств. В пределах доведенных лимитов бюджетных обязательств обеспечивается исполнение бюджетных обязательств по социально значимым и первоочередным направлениям расходов бюджета города. В приоритетном порядке финансировались социально значимые</w:t>
                  </w:r>
                  <w:r w:rsidRPr="00A40CCE">
                    <w:rPr>
                      <w:rFonts w:ascii="Times New Roman" w:eastAsia="Times New Roman" w:hAnsi="Times New Roman" w:cs="Times New Roman"/>
                      <w:i/>
                      <w:sz w:val="24"/>
                      <w:szCs w:val="24"/>
                      <w:lang w:eastAsia="ru-RU"/>
                    </w:rPr>
                    <w:t xml:space="preserve"> </w:t>
                  </w:r>
                  <w:r w:rsidRPr="00A40CCE">
                    <w:rPr>
                      <w:rFonts w:ascii="Times New Roman" w:eastAsia="Times New Roman" w:hAnsi="Times New Roman" w:cs="Times New Roman"/>
                      <w:sz w:val="24"/>
                      <w:szCs w:val="24"/>
                      <w:lang w:eastAsia="ru-RU"/>
                    </w:rPr>
                    <w:t xml:space="preserve">расходы  (оплата труда и начисления на выплаты по оплате труда, коммунальные услуги, социальное обеспечение, продукты питания, приобретение медикаментов, прочие материальные расходы), исполнение по которым составило 62% от общего объема расходов или 5 441 </w:t>
                  </w:r>
                  <w:r w:rsidRPr="00A40CCE">
                    <w:rPr>
                      <w:rFonts w:ascii="Times New Roman" w:eastAsia="Times New Roman" w:hAnsi="Times New Roman" w:cs="Times New Roman"/>
                      <w:bCs/>
                      <w:sz w:val="24"/>
                      <w:szCs w:val="24"/>
                      <w:lang w:eastAsia="ru-RU"/>
                    </w:rPr>
                    <w:t>млн. руб.</w:t>
                  </w:r>
                  <w:r w:rsidRPr="00A40CCE">
                    <w:rPr>
                      <w:rFonts w:ascii="Times New Roman" w:eastAsia="Times New Roman" w:hAnsi="Times New Roman" w:cs="Times New Roman"/>
                      <w:sz w:val="24"/>
                      <w:szCs w:val="24"/>
                      <w:lang w:eastAsia="ru-RU"/>
                    </w:rPr>
                    <w:t>, из них:</w:t>
                  </w:r>
                </w:p>
                <w:p w:rsidR="00A40CCE" w:rsidRPr="00A40CCE" w:rsidRDefault="00A40CCE" w:rsidP="00A40CC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bCs/>
                      <w:sz w:val="24"/>
                      <w:szCs w:val="24"/>
                      <w:lang w:eastAsia="ar-SA"/>
                    </w:rPr>
                    <w:t>- 4 531 млн. руб.</w:t>
                  </w:r>
                  <w:r w:rsidRPr="00A40CCE">
                    <w:rPr>
                      <w:rFonts w:ascii="Times New Roman" w:eastAsia="Times New Roman" w:hAnsi="Times New Roman" w:cs="Times New Roman"/>
                      <w:sz w:val="24"/>
                      <w:szCs w:val="24"/>
                      <w:lang w:eastAsia="ar-SA"/>
                    </w:rPr>
                    <w:t xml:space="preserve">  направлено на оплату труда и начисления на выплаты по оплате труда, что составляет  52% от общего объема расходов;</w:t>
                  </w:r>
                </w:p>
                <w:p w:rsidR="00A40CCE" w:rsidRPr="00A40CCE" w:rsidRDefault="00A40CCE" w:rsidP="00A40CC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bCs/>
                      <w:sz w:val="24"/>
                      <w:szCs w:val="24"/>
                      <w:lang w:eastAsia="ar-SA"/>
                    </w:rPr>
                    <w:t>- 258 млн. руб.</w:t>
                  </w:r>
                  <w:r w:rsidRPr="00A40CCE">
                    <w:rPr>
                      <w:rFonts w:ascii="Times New Roman" w:eastAsia="Times New Roman" w:hAnsi="Times New Roman" w:cs="Times New Roman"/>
                      <w:sz w:val="24"/>
                      <w:szCs w:val="24"/>
                      <w:lang w:eastAsia="ar-SA"/>
                    </w:rPr>
                    <w:t xml:space="preserve">  или  3% - на  оплату коммунальных услуг;</w:t>
                  </w:r>
                </w:p>
                <w:p w:rsidR="00A40CCE" w:rsidRPr="00A40CCE" w:rsidRDefault="00A40CCE" w:rsidP="00A40CC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bCs/>
                      <w:sz w:val="24"/>
                      <w:szCs w:val="24"/>
                      <w:lang w:eastAsia="ar-SA"/>
                    </w:rPr>
                    <w:t>- 451 млн. руб.</w:t>
                  </w:r>
                  <w:r w:rsidRPr="00A40CCE">
                    <w:rPr>
                      <w:rFonts w:ascii="Times New Roman" w:eastAsia="Times New Roman" w:hAnsi="Times New Roman" w:cs="Times New Roman"/>
                      <w:sz w:val="24"/>
                      <w:szCs w:val="24"/>
                      <w:lang w:eastAsia="ar-SA"/>
                    </w:rPr>
                    <w:t xml:space="preserve"> или  5% - на  социальное обеспечение.</w:t>
                  </w:r>
                </w:p>
                <w:p w:rsidR="00A40CCE" w:rsidRPr="00A40CCE" w:rsidRDefault="00A40CCE" w:rsidP="00A40CCE">
                  <w:pPr>
                    <w:spacing w:after="0" w:line="240" w:lineRule="auto"/>
                    <w:contextualSpacing/>
                    <w:jc w:val="both"/>
                    <w:rPr>
                      <w:rFonts w:ascii="Times New Roman" w:eastAsia="Times New Roman" w:hAnsi="Times New Roman" w:cs="Times New Roman"/>
                      <w:i/>
                      <w:sz w:val="24"/>
                      <w:szCs w:val="24"/>
                      <w:u w:val="single"/>
                      <w:lang w:eastAsia="ar-SA"/>
                    </w:rPr>
                  </w:pPr>
                  <w:r w:rsidRPr="00A40CCE">
                    <w:rPr>
                      <w:rFonts w:ascii="Times New Roman" w:eastAsia="Times New Roman" w:hAnsi="Times New Roman" w:cs="Times New Roman"/>
                      <w:sz w:val="24"/>
                      <w:szCs w:val="24"/>
                      <w:lang w:eastAsia="ar-SA"/>
                    </w:rPr>
                    <w:t>Первоочередные расходы исполнены в сумме 259 млн. руб. или 3% от общего объема расходов, из них: 180 млн. руб. или 2% - прочие выплаты (оплата проезда к месту проведения отпуска и обратно; фонд оздоровления, командировочные расходы - суточные; единовременная выплата на оздоровление; компенсация за наем жилых помещений в общежитии; подъемное пособие молодым специалистам; единовременная помощь на погребение; компенсационные выплаты за книгоиздательскую продукцию).</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Остальные расходы – 3 064  млн. руб.  или  35% от общего объема расходов,            в том числе:</w:t>
                  </w:r>
                </w:p>
                <w:p w:rsidR="00A40CCE" w:rsidRPr="00A40CCE" w:rsidRDefault="00A40CCE" w:rsidP="00A40CC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- 987 млн. руб. или 11% - увеличение стоимости основных средств (капитальные вложения, приобретение оборудования);</w:t>
                  </w:r>
                </w:p>
                <w:p w:rsidR="00A40CCE" w:rsidRPr="00A40CCE" w:rsidRDefault="00A40CCE" w:rsidP="00A40CC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lastRenderedPageBreak/>
                    <w:t>- 733 млн. руб. или 8% - работы, услуги по содержанию имущества;</w:t>
                  </w:r>
                </w:p>
                <w:p w:rsidR="00A40CCE" w:rsidRPr="00A40CCE" w:rsidRDefault="00A40CCE" w:rsidP="00A40CC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- 366 млн. руб. или 4% - прочие работы, услуги (подписка на периодические издания; утилизация отходов; оплата услуг охраны; стоянка автомобилей; сопровождение программных продуктов, лицензионные платежи за программы; оплата договоров ОСАГО; установка и монтаж систем охранной и пожарной сигнализации, видеонаблюдения; найм жилых помещений при служебных командировках; проектно-изыскательские работы);</w:t>
                  </w:r>
                </w:p>
                <w:p w:rsidR="00A40CCE" w:rsidRPr="00A40CCE" w:rsidRDefault="00A40CCE" w:rsidP="00A40CC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- 946 млн. руб. или 11% - безвозмездные перечисления государственным и муниципальным организациям;</w:t>
                  </w:r>
                </w:p>
                <w:p w:rsidR="00A40CCE" w:rsidRPr="00A40CCE" w:rsidRDefault="00A40CCE" w:rsidP="00A40CCE">
                  <w:pPr>
                    <w:widowControl w:val="0"/>
                    <w:tabs>
                      <w:tab w:val="left" w:pos="-10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- 32 млн. руб. или 1% - прочие расходы (транспортный налог, оплата госпошлин, налогов, штрафов, пеней; прием и обслуживание делегаций)</w:t>
                  </w:r>
                </w:p>
              </w:tc>
            </w:tr>
            <w:tr w:rsidR="00A40CCE" w:rsidRPr="00A40CCE" w:rsidTr="00361C8D">
              <w:tc>
                <w:tcPr>
                  <w:tcW w:w="2297" w:type="dxa"/>
                </w:tcPr>
                <w:p w:rsidR="00A40CCE" w:rsidRPr="00A40CCE" w:rsidRDefault="00A40CCE" w:rsidP="00A40CCE">
                  <w:pPr>
                    <w:spacing w:after="0" w:line="240" w:lineRule="auto"/>
                    <w:ind w:firstLine="284"/>
                    <w:jc w:val="center"/>
                    <w:rPr>
                      <w:rFonts w:ascii="Times New Roman" w:eastAsia="Times New Roman" w:hAnsi="Times New Roman" w:cs="Times New Roman"/>
                      <w:sz w:val="24"/>
                      <w:szCs w:val="24"/>
                      <w:lang w:eastAsia="ar-SA"/>
                    </w:rPr>
                  </w:pP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контроль за соблюдением руководителями муниципальных учреждений установленного размера  минимальной заработной платы в автономном округе</w:t>
                  </w:r>
                </w:p>
              </w:tc>
              <w:tc>
                <w:tcPr>
                  <w:tcW w:w="8505" w:type="dxa"/>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в целях недопущения выплаты заработной платы в размере ниже минимального размера оплаты труда, установленного в рамках трехстороннего соглашения по размеру минимальной заработной платы в автономном округе, руководители муниципальных учреждений города производят ежемесячные доплаты работникам, размер заработной платы которых, при условии полного выполнения работником нормы труда и отработки месячной нормы рабочего времени, не достигает установленного минимального размера оплаты труда. За 9 месяцев 2011 года произведена доплата 576 работникам, размер заработной платы которых, при условии полного выполнения работником нормы труда и отработки месячной нормы рабочего времени, не достигает установленного минимального размера оплаты труда. Общая сумма доплат составила 6 469 тыс. руб.</w:t>
                  </w:r>
                </w:p>
              </w:tc>
            </w:tr>
            <w:tr w:rsidR="00A40CCE" w:rsidRPr="00A40CCE" w:rsidTr="00361C8D">
              <w:tc>
                <w:tcPr>
                  <w:tcW w:w="2297" w:type="dxa"/>
                </w:tcPr>
                <w:p w:rsidR="00A40CCE" w:rsidRPr="00A40CCE" w:rsidRDefault="00A40CCE" w:rsidP="00A40CCE">
                  <w:pPr>
                    <w:spacing w:after="0" w:line="240" w:lineRule="auto"/>
                    <w:ind w:firstLine="284"/>
                    <w:jc w:val="center"/>
                    <w:rPr>
                      <w:rFonts w:ascii="Times New Roman" w:eastAsia="Times New Roman" w:hAnsi="Times New Roman" w:cs="Times New Roman"/>
                      <w:sz w:val="24"/>
                      <w:szCs w:val="24"/>
                      <w:lang w:eastAsia="ar-SA"/>
                    </w:rPr>
                  </w:pP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контроль за использованием средств, выделяемых на реализацию наказов избирателей депутатам Думы автономного округа</w:t>
                  </w:r>
                </w:p>
              </w:tc>
              <w:tc>
                <w:tcPr>
                  <w:tcW w:w="8505" w:type="dxa"/>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xml:space="preserve">проводится ежеквартальный мониторинг за целевым использованием средств, выделяемых на реализацию наказов избирателей депутатам Думы автономного округа. Средства, выделяемые на реализацию наказов избирателей депутатам Думы автономного округа, по состоянию на 01.10.2011  исполнены в сумме     13 млн. руб., что составляет 52% к плановым назначениям года - 25 млн. руб. Средства направлены на приобретение оборудования, мебели, компьютерной техники, укрепление материально-технической базы учреждений, проведение ремонтных работ, замену оконных блоков, проведение текущего ремонта учреждений, приобретение строительных материалов, приобретение мебели для клинико-диагностической  лаборатории, медицинской аппаратуры, </w:t>
                  </w:r>
                  <w:r w:rsidRPr="00A40CCE">
                    <w:rPr>
                      <w:rFonts w:ascii="Times New Roman" w:eastAsia="Times New Roman" w:hAnsi="Times New Roman" w:cs="Times New Roman"/>
                      <w:sz w:val="24"/>
                      <w:szCs w:val="24"/>
                      <w:lang w:eastAsia="ar-SA"/>
                    </w:rPr>
                    <w:lastRenderedPageBreak/>
                    <w:t>строительство спортивной трассы, участие в конкурсах и соревнованиях</w:t>
                  </w:r>
                </w:p>
              </w:tc>
            </w:tr>
            <w:tr w:rsidR="00A40CCE" w:rsidRPr="00A40CCE" w:rsidTr="00361C8D">
              <w:trPr>
                <w:trHeight w:val="1128"/>
              </w:trPr>
              <w:tc>
                <w:tcPr>
                  <w:tcW w:w="2297" w:type="dxa"/>
                </w:tcPr>
                <w:p w:rsidR="00A40CCE" w:rsidRPr="00A40CCE" w:rsidRDefault="00A40CCE" w:rsidP="00A40CCE">
                  <w:pPr>
                    <w:spacing w:after="0" w:line="240" w:lineRule="auto"/>
                    <w:ind w:firstLine="284"/>
                    <w:jc w:val="center"/>
                    <w:rPr>
                      <w:rFonts w:ascii="Times New Roman" w:eastAsia="Times New Roman" w:hAnsi="Times New Roman" w:cs="Times New Roman"/>
                      <w:sz w:val="24"/>
                      <w:szCs w:val="24"/>
                      <w:lang w:eastAsia="ar-SA"/>
                    </w:rPr>
                  </w:pP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жесткий режим экономного и рационального использования бюджетных средств, направляемых на оказание социально значимых муниципальных услуг, включая установление для муниципальных учреждений нормативов потребления топливно-энергетических и других материальных ресурсов</w:t>
                  </w:r>
                </w:p>
              </w:tc>
              <w:tc>
                <w:tcPr>
                  <w:tcW w:w="8505" w:type="dxa"/>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утвержден План мероприятий муниципального образования - город Нижневартовск "Об энергосбережении и повышении энергетической эффективности", где одним из важнейших мероприятий для главных распорядителей бюджетных средств, руководителей бюджетных учреждений и муниципальных предприятий является обеспечение снижения объема потребленных энергетических ресурсов в течение 5 лет не менее чем на 15% от объема фактически потребленных в 2009 году с ежегодным снижением такого объема не менее чем на 3%. Департаментом жилищно-коммунального хозяйства администрации города совместно с предприятиями, предоставляющими услуги жилищно-коммунального хозяйства, при формировании тарифов проводится оптимизация затрат, разрабатываются мероприятия по улучшению результатов финансово-экономической деятельности и эффективности производства. При формировании тарифов на жилищные услуги на 2011 год проведены следующие мероприятия по оптимизации затрат:</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уменьшение численности;</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уточнение перечня выполняемых работ и  услуг по содержанию и обслуживанию жилищного фонда;</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увеличение уровня платежей граждан за жилищные услуги по бесхозяйному жилищному фонду.</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xml:space="preserve">Проведенные мероприятия дали возможность установить в 2011 году размер платы за жилищные и коммунальные услуги ниже индексов, установленных округом, примерно на 1%, что позволило уменьшить выделение бюджетных средств на сумму 13 368,0 тыс. руб. по статьям "Содержание и ремонт ветхого жилищного фонда, жилищного фонда с неблагоприятными экологическими характеристиками", "Содержание и ремонт бесхозяйного жилищного фонда" </w:t>
                  </w:r>
                </w:p>
              </w:tc>
            </w:tr>
            <w:tr w:rsidR="00A40CCE" w:rsidRPr="00A40CCE" w:rsidTr="00361C8D">
              <w:tc>
                <w:tcPr>
                  <w:tcW w:w="2297" w:type="dxa"/>
                </w:tcPr>
                <w:p w:rsidR="00A40CCE" w:rsidRPr="00A40CCE" w:rsidRDefault="00A40CCE" w:rsidP="00A40CCE">
                  <w:pPr>
                    <w:spacing w:after="0" w:line="240" w:lineRule="auto"/>
                    <w:ind w:firstLine="284"/>
                    <w:jc w:val="center"/>
                    <w:rPr>
                      <w:rFonts w:ascii="Times New Roman" w:eastAsia="Times New Roman" w:hAnsi="Times New Roman" w:cs="Times New Roman"/>
                      <w:sz w:val="24"/>
                      <w:szCs w:val="24"/>
                      <w:lang w:eastAsia="ar-SA"/>
                    </w:rPr>
                  </w:pP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формирование в установленном порядке муниципальных заданий и их выполнение подведомственными муниципальными учреждениями</w:t>
                  </w:r>
                </w:p>
              </w:tc>
              <w:tc>
                <w:tcPr>
                  <w:tcW w:w="8505" w:type="dxa"/>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xml:space="preserve">для формирования муниципальных заданий и их выполнения принято постановление администрации города от 12.05.2011 №493 "Об утверждении Положения о порядке формирования муниципального задания в отношении муниципальных учреждений города Нижневартовска и финансового обеспечения выполнения муниципального задания и о признании утратившими силу некоторых постановлений Главы и администрации города". В </w:t>
                  </w:r>
                  <w:r w:rsidRPr="00A40CCE">
                    <w:rPr>
                      <w:rFonts w:ascii="Times New Roman" w:eastAsia="Times New Roman" w:hAnsi="Times New Roman" w:cs="Times New Roman"/>
                      <w:sz w:val="24"/>
                      <w:szCs w:val="24"/>
                      <w:lang w:eastAsia="ar-SA"/>
                    </w:rPr>
                    <w:lastRenderedPageBreak/>
                    <w:t>соответствии с данным постановлением на  2011 год в отношении всех бюджетных и автономных учреждений города Нижневартовска утверждены муниципальные задания</w:t>
                  </w:r>
                </w:p>
              </w:tc>
            </w:tr>
            <w:tr w:rsidR="00A40CCE" w:rsidRPr="00A40CCE" w:rsidTr="00361C8D">
              <w:trPr>
                <w:trHeight w:val="240"/>
              </w:trPr>
              <w:tc>
                <w:tcPr>
                  <w:tcW w:w="2297" w:type="dxa"/>
                </w:tcPr>
                <w:p w:rsidR="00A40CCE" w:rsidRPr="00A40CCE" w:rsidRDefault="00A40CCE" w:rsidP="00A40CCE">
                  <w:pPr>
                    <w:spacing w:after="0" w:line="240" w:lineRule="auto"/>
                    <w:jc w:val="center"/>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lastRenderedPageBreak/>
                    <w:t>2.2.</w:t>
                  </w: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Не допускать:</w:t>
                  </w:r>
                </w:p>
              </w:tc>
              <w:tc>
                <w:tcPr>
                  <w:tcW w:w="8505" w:type="dxa"/>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p>
              </w:tc>
            </w:tr>
            <w:tr w:rsidR="00A40CCE" w:rsidRPr="00A40CCE" w:rsidTr="00361C8D">
              <w:trPr>
                <w:trHeight w:val="698"/>
              </w:trPr>
              <w:tc>
                <w:tcPr>
                  <w:tcW w:w="2297" w:type="dxa"/>
                </w:tcPr>
                <w:p w:rsidR="00A40CCE" w:rsidRPr="00A40CCE" w:rsidRDefault="00A40CCE" w:rsidP="00A40CCE">
                  <w:pPr>
                    <w:spacing w:after="0" w:line="240" w:lineRule="auto"/>
                    <w:jc w:val="center"/>
                    <w:rPr>
                      <w:rFonts w:ascii="Times New Roman" w:eastAsia="Times New Roman" w:hAnsi="Times New Roman" w:cs="Times New Roman"/>
                      <w:sz w:val="24"/>
                      <w:szCs w:val="24"/>
                      <w:lang w:eastAsia="ar-SA"/>
                    </w:rPr>
                  </w:pP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необоснованного увеличения количества принимаемых расходных обязательств</w:t>
                  </w:r>
                </w:p>
              </w:tc>
              <w:tc>
                <w:tcPr>
                  <w:tcW w:w="8505" w:type="dxa"/>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необоснованное увеличение количества принимаемых расходных обязательств не допускается</w:t>
                  </w:r>
                </w:p>
              </w:tc>
            </w:tr>
            <w:tr w:rsidR="00A40CCE" w:rsidRPr="00A40CCE" w:rsidTr="00361C8D">
              <w:trPr>
                <w:trHeight w:val="1700"/>
              </w:trPr>
              <w:tc>
                <w:tcPr>
                  <w:tcW w:w="2297" w:type="dxa"/>
                </w:tcPr>
                <w:p w:rsidR="00A40CCE" w:rsidRPr="00A40CCE" w:rsidRDefault="00A40CCE" w:rsidP="00A40CCE">
                  <w:pPr>
                    <w:spacing w:after="0" w:line="240" w:lineRule="auto"/>
                    <w:jc w:val="center"/>
                    <w:rPr>
                      <w:rFonts w:ascii="Times New Roman" w:eastAsia="Times New Roman" w:hAnsi="Times New Roman" w:cs="Times New Roman"/>
                      <w:sz w:val="24"/>
                      <w:szCs w:val="24"/>
                      <w:lang w:eastAsia="ar-SA"/>
                    </w:rPr>
                  </w:pP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xml:space="preserve">- образования просроченной кредиторской задолженности муниципальных учреждений в первую очередь </w:t>
                  </w:r>
                  <w:bookmarkStart w:id="0" w:name="OLE_LINK1"/>
                  <w:r w:rsidRPr="00A40CCE">
                    <w:rPr>
                      <w:rFonts w:ascii="Times New Roman" w:eastAsia="Times New Roman" w:hAnsi="Times New Roman" w:cs="Times New Roman"/>
                      <w:sz w:val="24"/>
                      <w:szCs w:val="24"/>
                      <w:lang w:eastAsia="ar-SA"/>
                    </w:rPr>
                    <w:t>по выплате заработной платы и начислениям на выплаты по оплате труда</w:t>
                  </w:r>
                  <w:bookmarkEnd w:id="0"/>
                  <w:r w:rsidRPr="00A40CCE">
                    <w:rPr>
                      <w:rFonts w:ascii="Times New Roman" w:eastAsia="Times New Roman" w:hAnsi="Times New Roman" w:cs="Times New Roman"/>
                      <w:sz w:val="24"/>
                      <w:szCs w:val="24"/>
                      <w:lang w:eastAsia="ar-SA"/>
                    </w:rPr>
                    <w:t>, оплате коммунальных услуг, а также по другим социально значимым и первоочередным расходам бюджета города</w:t>
                  </w:r>
                </w:p>
              </w:tc>
              <w:tc>
                <w:tcPr>
                  <w:tcW w:w="8505" w:type="dxa"/>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по данным бюджетной отчетности по состоянию на 01.10.2011 просроченная кредиторская задолженность отсутствует</w:t>
                  </w:r>
                </w:p>
              </w:tc>
            </w:tr>
            <w:tr w:rsidR="00A40CCE" w:rsidRPr="00A40CCE" w:rsidTr="00361C8D">
              <w:tc>
                <w:tcPr>
                  <w:tcW w:w="2297" w:type="dxa"/>
                </w:tcPr>
                <w:p w:rsidR="00A40CCE" w:rsidRPr="00A40CCE" w:rsidRDefault="00A40CCE" w:rsidP="00A40CCE">
                  <w:pPr>
                    <w:spacing w:after="0" w:line="240" w:lineRule="auto"/>
                    <w:jc w:val="center"/>
                    <w:rPr>
                      <w:rFonts w:ascii="Times New Roman" w:eastAsia="Times New Roman" w:hAnsi="Times New Roman" w:cs="Times New Roman"/>
                      <w:sz w:val="24"/>
                      <w:szCs w:val="24"/>
                      <w:lang w:eastAsia="ar-SA"/>
                    </w:rPr>
                  </w:pP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нецелевого использования субсидий, субвенций и иных межбюджетных трансфертов, полученных из бюджетов других уровней и имеющих целевое назначение</w:t>
                  </w:r>
                </w:p>
              </w:tc>
              <w:tc>
                <w:tcPr>
                  <w:tcW w:w="8505" w:type="dxa"/>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расходы, осуществляемые за счет соответствующей субвенции, субсидии                  и иных межбюджетных трансфертов, производятся строго с целевым назначением</w:t>
                  </w:r>
                </w:p>
              </w:tc>
            </w:tr>
            <w:tr w:rsidR="00A40CCE" w:rsidRPr="00A40CCE" w:rsidTr="00361C8D">
              <w:tc>
                <w:tcPr>
                  <w:tcW w:w="2297" w:type="dxa"/>
                </w:tcPr>
                <w:p w:rsidR="00A40CCE" w:rsidRPr="00A40CCE" w:rsidRDefault="00A40CCE" w:rsidP="00A40CCE">
                  <w:pPr>
                    <w:spacing w:after="0" w:line="240" w:lineRule="auto"/>
                    <w:jc w:val="center"/>
                    <w:rPr>
                      <w:rFonts w:ascii="Times New Roman" w:eastAsia="Times New Roman" w:hAnsi="Times New Roman" w:cs="Times New Roman"/>
                      <w:sz w:val="24"/>
                      <w:szCs w:val="24"/>
                      <w:lang w:eastAsia="ar-SA"/>
                    </w:rPr>
                  </w:pP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xml:space="preserve">- увеличения штатной численности работников муниципальных учреждений, за исключением случаев принятия решения о передаче муниципальному образованию дополнительных отдельных полномочий Российской Федерации и Ханты-Мансийского автономного округа - Югры и ввода новых объектов </w:t>
                  </w:r>
                  <w:r w:rsidRPr="00A40CCE">
                    <w:rPr>
                      <w:rFonts w:ascii="Times New Roman" w:eastAsia="Times New Roman" w:hAnsi="Times New Roman" w:cs="Times New Roman"/>
                      <w:sz w:val="24"/>
                      <w:szCs w:val="24"/>
                      <w:lang w:eastAsia="ar-SA"/>
                    </w:rPr>
                    <w:lastRenderedPageBreak/>
                    <w:t>капитального строительства</w:t>
                  </w:r>
                </w:p>
              </w:tc>
              <w:tc>
                <w:tcPr>
                  <w:tcW w:w="8505" w:type="dxa"/>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lastRenderedPageBreak/>
                    <w:t xml:space="preserve">увеличение штатной численности работников муниципальных учреждений  произошло в целях повышения качества муниципальных услуг, оказываемых населению города Нижневартовска. На 01.10.2011 введены 162,88 штатной единицы </w:t>
                  </w:r>
                  <w:r w:rsidRPr="00A40CCE">
                    <w:rPr>
                      <w:rFonts w:ascii="Times New Roman" w:eastAsia="Times New Roman" w:hAnsi="Times New Roman" w:cs="Times New Roman"/>
                      <w:bCs/>
                      <w:sz w:val="24"/>
                      <w:szCs w:val="24"/>
                      <w:lang w:eastAsia="ar-SA"/>
                    </w:rPr>
                    <w:t xml:space="preserve">работников муниципальных учреждений. </w:t>
                  </w:r>
                  <w:r w:rsidRPr="00A40CCE">
                    <w:rPr>
                      <w:rFonts w:ascii="Times New Roman" w:eastAsia="Times New Roman" w:hAnsi="Times New Roman" w:cs="Times New Roman"/>
                      <w:sz w:val="24"/>
                      <w:szCs w:val="24"/>
                      <w:lang w:eastAsia="ar-SA"/>
                    </w:rPr>
                    <w:t xml:space="preserve">В связи с открытием нового муниципального автономного дошкольного образовательного учреждения города Нижневартовска – центра развития ребенка детского сада №44 "Золотой ключик" и в целях обеспечения его медицинскими работниками с 01.09.2011 в штатное расписание муниципального бюджетного учреждения "Детская городская поликлиника" введены 3 штатные единицы. В целях повышения качества муниципальных услуг, оказываемых населению города </w:t>
                  </w:r>
                  <w:r w:rsidRPr="00A40CCE">
                    <w:rPr>
                      <w:rFonts w:ascii="Times New Roman" w:eastAsia="Times New Roman" w:hAnsi="Times New Roman" w:cs="Times New Roman"/>
                      <w:sz w:val="24"/>
                      <w:szCs w:val="24"/>
                      <w:lang w:eastAsia="ar-SA"/>
                    </w:rPr>
                    <w:lastRenderedPageBreak/>
                    <w:t>Нижневартовска в области культуры и искусства, введены:</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val="x-none" w:eastAsia="ar-SA"/>
                    </w:rPr>
                  </w:pPr>
                  <w:r w:rsidRPr="00A40CCE">
                    <w:rPr>
                      <w:rFonts w:ascii="Times New Roman" w:eastAsia="Times New Roman" w:hAnsi="Times New Roman" w:cs="Times New Roman"/>
                      <w:sz w:val="24"/>
                      <w:szCs w:val="24"/>
                      <w:lang w:eastAsia="ar-SA"/>
                    </w:rPr>
                    <w:t xml:space="preserve">- </w:t>
                  </w:r>
                  <w:r w:rsidRPr="00A40CCE">
                    <w:rPr>
                      <w:rFonts w:ascii="Times New Roman" w:eastAsia="Times New Roman" w:hAnsi="Times New Roman" w:cs="Times New Roman"/>
                      <w:sz w:val="24"/>
                      <w:szCs w:val="24"/>
                      <w:lang w:val="x-none" w:eastAsia="ar-SA"/>
                    </w:rPr>
                    <w:t xml:space="preserve">в муниципальное бюджетное учреждение "Дворец культуры "Октябрь" </w:t>
                  </w:r>
                  <w:r w:rsidRPr="00A40CCE">
                    <w:rPr>
                      <w:rFonts w:ascii="Times New Roman" w:eastAsia="Times New Roman" w:hAnsi="Times New Roman" w:cs="Times New Roman"/>
                      <w:sz w:val="24"/>
                      <w:szCs w:val="24"/>
                      <w:lang w:eastAsia="ar-SA"/>
                    </w:rPr>
                    <w:t xml:space="preserve">            </w:t>
                  </w:r>
                  <w:r w:rsidRPr="00A40CCE">
                    <w:rPr>
                      <w:rFonts w:ascii="Times New Roman" w:eastAsia="Times New Roman" w:hAnsi="Times New Roman" w:cs="Times New Roman"/>
                      <w:sz w:val="24"/>
                      <w:szCs w:val="24"/>
                      <w:lang w:val="x-none" w:eastAsia="ar-SA"/>
                    </w:rPr>
                    <w:t>2 штатные единицы (с 01.04.2011);</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в муниципальное бюджетное учреждение "Дворец искусств" 1 штатная единица (с 01.05.2011).</w:t>
                  </w:r>
                </w:p>
                <w:p w:rsidR="00A40CCE" w:rsidRPr="00A40CCE" w:rsidRDefault="00A40CCE" w:rsidP="00A40CCE">
                  <w:pPr>
                    <w:spacing w:after="0" w:line="240" w:lineRule="auto"/>
                    <w:contextualSpacing/>
                    <w:jc w:val="both"/>
                    <w:rPr>
                      <w:rFonts w:ascii="Times New Roman" w:eastAsia="Times New Roman" w:hAnsi="Times New Roman" w:cs="Times New Roman"/>
                      <w:bCs/>
                      <w:sz w:val="24"/>
                      <w:szCs w:val="24"/>
                      <w:lang w:eastAsia="ar-SA"/>
                    </w:rPr>
                  </w:pPr>
                  <w:r w:rsidRPr="00A40CCE">
                    <w:rPr>
                      <w:rFonts w:ascii="Times New Roman" w:eastAsia="Times New Roman" w:hAnsi="Times New Roman" w:cs="Times New Roman"/>
                      <w:sz w:val="24"/>
                      <w:szCs w:val="24"/>
                      <w:lang w:val="x-none" w:eastAsia="ar-SA"/>
                    </w:rPr>
                    <w:t>В связи с  увеличением с 01.09.2011 классов-комплектов увеличилась штатная численность по отрасли "Образование".</w:t>
                  </w:r>
                  <w:r w:rsidRPr="00A40CCE">
                    <w:rPr>
                      <w:rFonts w:ascii="Times New Roman" w:eastAsia="Times New Roman" w:hAnsi="Times New Roman" w:cs="Times New Roman"/>
                      <w:sz w:val="24"/>
                      <w:szCs w:val="24"/>
                      <w:lang w:eastAsia="ar-SA"/>
                    </w:rPr>
                    <w:t xml:space="preserve"> Увеличение штатной численности р</w:t>
                  </w:r>
                  <w:r w:rsidRPr="00A40CCE">
                    <w:rPr>
                      <w:rFonts w:ascii="Times New Roman" w:eastAsia="Times New Roman" w:hAnsi="Times New Roman" w:cs="Times New Roman"/>
                      <w:bCs/>
                      <w:sz w:val="24"/>
                      <w:szCs w:val="24"/>
                      <w:lang w:eastAsia="ar-SA"/>
                    </w:rPr>
                    <w:t>аботников муниципальных учреждений, финансовое обеспечение которых полностью или частично осуществляется за счет средств субвенций из регионального фонда компенсаций бюджета автономного округа,  не осуществлялось</w:t>
                  </w:r>
                </w:p>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val="x-none" w:eastAsia="ar-SA"/>
                    </w:rPr>
                  </w:pPr>
                </w:p>
              </w:tc>
            </w:tr>
            <w:tr w:rsidR="00A40CCE" w:rsidRPr="00A40CCE" w:rsidTr="00361C8D">
              <w:tc>
                <w:tcPr>
                  <w:tcW w:w="2297" w:type="dxa"/>
                </w:tcPr>
                <w:p w:rsidR="00A40CCE" w:rsidRPr="00A40CCE" w:rsidRDefault="00A40CCE" w:rsidP="00A40CCE">
                  <w:pPr>
                    <w:spacing w:after="0" w:line="240" w:lineRule="auto"/>
                    <w:jc w:val="center"/>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lastRenderedPageBreak/>
                    <w:t>2.3.</w:t>
                  </w:r>
                </w:p>
              </w:tc>
              <w:tc>
                <w:tcPr>
                  <w:tcW w:w="3842" w:type="dxa"/>
                </w:tcPr>
                <w:p w:rsidR="00A40CCE" w:rsidRPr="00A40CCE" w:rsidRDefault="00A40CCE" w:rsidP="00A40CCE">
                  <w:pPr>
                    <w:spacing w:after="0" w:line="240" w:lineRule="auto"/>
                    <w:ind w:firstLine="19"/>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Провести мероприятия по оптимизации бюджетных расходов, включающие в себя инвентаризацию действующих расходных обязательств, отказ от нерациональных расходов и принятия новых расходных обязательств, инвентаризацию сети бюджетных учреждений и численности подведомственных учреждений</w:t>
                  </w:r>
                </w:p>
              </w:tc>
              <w:tc>
                <w:tcPr>
                  <w:tcW w:w="8505" w:type="dxa"/>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для более эффективного и результативного использования кадровых и бюджетных ресурсов в системе  здравоохранения с 01.02.2011 был осуществлен перевод автотранспортной службы муниципального учреждения "Городская больница  №1" в муниципальное учреждение "Городская поликлиника" и проведена оптимизация численности персонала путем исключения дублирующих должностей и их перепрофилирования</w:t>
                  </w:r>
                </w:p>
              </w:tc>
            </w:tr>
            <w:tr w:rsidR="00A40CCE" w:rsidRPr="00A40CCE" w:rsidTr="00361C8D">
              <w:tc>
                <w:tcPr>
                  <w:tcW w:w="2297" w:type="dxa"/>
                </w:tcPr>
                <w:p w:rsidR="00A40CCE" w:rsidRPr="00A40CCE" w:rsidRDefault="00A40CCE" w:rsidP="00A40CCE">
                  <w:pPr>
                    <w:spacing w:after="0" w:line="240" w:lineRule="auto"/>
                    <w:jc w:val="center"/>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2.4.</w:t>
                  </w:r>
                </w:p>
              </w:tc>
              <w:tc>
                <w:tcPr>
                  <w:tcW w:w="3842" w:type="dxa"/>
                </w:tcPr>
                <w:p w:rsidR="00A40CCE" w:rsidRPr="00A40CCE" w:rsidRDefault="00A40CCE" w:rsidP="00A40CCE">
                  <w:pPr>
                    <w:spacing w:after="0" w:line="240" w:lineRule="auto"/>
                    <w:ind w:firstLine="19"/>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Постоянно проводить анализ дебиторской и кредиторской задолженностей и принимать меры по их сокращению</w:t>
                  </w:r>
                </w:p>
              </w:tc>
              <w:tc>
                <w:tcPr>
                  <w:tcW w:w="8505" w:type="dxa"/>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xml:space="preserve">мониторинг дебиторской и кредиторской задолженности проводится ежемесячно. Просроченная кредиторская задолженность отсутствует </w:t>
                  </w:r>
                </w:p>
              </w:tc>
            </w:tr>
            <w:tr w:rsidR="00A40CCE" w:rsidRPr="00A40CCE" w:rsidTr="00361C8D">
              <w:tc>
                <w:tcPr>
                  <w:tcW w:w="2297" w:type="dxa"/>
                </w:tcPr>
                <w:p w:rsidR="00A40CCE" w:rsidRPr="00A40CCE" w:rsidRDefault="00A40CCE" w:rsidP="00A40CCE">
                  <w:pPr>
                    <w:spacing w:after="0" w:line="240" w:lineRule="auto"/>
                    <w:jc w:val="center"/>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2.6.</w:t>
                  </w:r>
                </w:p>
              </w:tc>
              <w:tc>
                <w:tcPr>
                  <w:tcW w:w="3842" w:type="dxa"/>
                </w:tcPr>
                <w:p w:rsidR="00A40CCE" w:rsidRPr="00A40CCE" w:rsidRDefault="00A40CCE" w:rsidP="00A40CCE">
                  <w:pPr>
                    <w:spacing w:after="0" w:line="240" w:lineRule="auto"/>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t xml:space="preserve">Представлять в департамент финансов администрации города в срок до 12 числа месяца, следующего за отчетным кварталом, сведения об экономии лимитов бюджетных обязательств, </w:t>
                  </w:r>
                  <w:r w:rsidRPr="00A40CCE">
                    <w:rPr>
                      <w:rFonts w:ascii="Times New Roman" w:eastAsia="Times New Roman" w:hAnsi="Times New Roman" w:cs="Times New Roman"/>
                      <w:sz w:val="24"/>
                      <w:szCs w:val="24"/>
                      <w:lang w:eastAsia="ar-SA"/>
                    </w:rPr>
                    <w:lastRenderedPageBreak/>
                    <w:t>сложившихся по итогам размещения заказов на поставку товаров, выполнение работ, оказание услуг для муниципальных нужд и предложения по их дальнейшему направлению; сведения о дебиторской и кредиторской задолженности, в том числе просроченной; информацию об исполнении настоящего постановления за полугодие, 9 месяцев, год</w:t>
                  </w:r>
                </w:p>
              </w:tc>
              <w:tc>
                <w:tcPr>
                  <w:tcW w:w="8505" w:type="dxa"/>
                </w:tcPr>
                <w:p w:rsidR="00A40CCE" w:rsidRPr="00A40CCE" w:rsidRDefault="00A40CCE" w:rsidP="00A40CCE">
                  <w:pPr>
                    <w:spacing w:after="0" w:line="240" w:lineRule="auto"/>
                    <w:contextualSpacing/>
                    <w:jc w:val="both"/>
                    <w:rPr>
                      <w:rFonts w:ascii="Times New Roman" w:eastAsia="Times New Roman" w:hAnsi="Times New Roman" w:cs="Times New Roman"/>
                      <w:sz w:val="24"/>
                      <w:szCs w:val="24"/>
                      <w:lang w:eastAsia="ar-SA"/>
                    </w:rPr>
                  </w:pPr>
                  <w:r w:rsidRPr="00A40CCE">
                    <w:rPr>
                      <w:rFonts w:ascii="Times New Roman" w:eastAsia="Times New Roman" w:hAnsi="Times New Roman" w:cs="Times New Roman"/>
                      <w:sz w:val="24"/>
                      <w:szCs w:val="24"/>
                      <w:lang w:eastAsia="ar-SA"/>
                    </w:rPr>
                    <w:lastRenderedPageBreak/>
                    <w:t xml:space="preserve">все главные распорядители средств бюджета города своевременно представили сведения и информацию о выполнении данного постановления за 9 месяцев. В ходе исполнения бюджета города за 9 месяцев  сумма экономии, сложившаяся по итогам размещения заказов на поставку товаров, выполнение работ, оказание услуг для муниципальных нужд, составила 10,5 млн. руб. Сведения по дебиторской и кредиторской задолженности, в том числе просроченной,  </w:t>
                  </w:r>
                  <w:r w:rsidRPr="00A40CCE">
                    <w:rPr>
                      <w:rFonts w:ascii="Times New Roman" w:eastAsia="Times New Roman" w:hAnsi="Times New Roman" w:cs="Times New Roman"/>
                      <w:sz w:val="24"/>
                      <w:szCs w:val="24"/>
                      <w:lang w:eastAsia="ar-SA"/>
                    </w:rPr>
                    <w:lastRenderedPageBreak/>
                    <w:t>представляются в сроки, установленные для представления месячной и квартальной бюджетной отчетности в 2011 году</w:t>
                  </w:r>
                </w:p>
              </w:tc>
            </w:tr>
          </w:tbl>
          <w:p w:rsidR="00A40CCE" w:rsidRPr="00A40CCE" w:rsidRDefault="00A40CCE" w:rsidP="00A40CCE">
            <w:pPr>
              <w:spacing w:after="0" w:line="240" w:lineRule="auto"/>
              <w:ind w:firstLine="284"/>
              <w:jc w:val="center"/>
              <w:rPr>
                <w:rFonts w:ascii="Times New Roman" w:eastAsia="Times New Roman" w:hAnsi="Times New Roman" w:cs="Times New Roman"/>
                <w:b/>
                <w:bCs/>
                <w:sz w:val="24"/>
                <w:szCs w:val="24"/>
                <w:lang w:eastAsia="ru-RU"/>
              </w:rPr>
            </w:pPr>
          </w:p>
        </w:tc>
      </w:tr>
    </w:tbl>
    <w:p w:rsidR="00A40CCE" w:rsidRPr="00A40CCE" w:rsidRDefault="00A40CCE" w:rsidP="00A40CCE">
      <w:pPr>
        <w:spacing w:after="0" w:line="240" w:lineRule="auto"/>
        <w:rPr>
          <w:rFonts w:ascii="Times New Roman" w:eastAsia="Times New Roman" w:hAnsi="Times New Roman" w:cs="Times New Roman"/>
          <w:sz w:val="20"/>
          <w:szCs w:val="20"/>
          <w:lang w:eastAsia="ar-SA"/>
        </w:rPr>
      </w:pPr>
    </w:p>
    <w:p w:rsidR="00A40CCE" w:rsidRPr="00A40CCE" w:rsidRDefault="00A40CCE" w:rsidP="00A40CCE">
      <w:pPr>
        <w:spacing w:after="0" w:line="240" w:lineRule="auto"/>
        <w:rPr>
          <w:rFonts w:ascii="Times New Roman" w:eastAsia="Times New Roman" w:hAnsi="Times New Roman" w:cs="Times New Roman"/>
          <w:sz w:val="20"/>
          <w:szCs w:val="20"/>
          <w:lang w:eastAsia="ar-SA"/>
        </w:rPr>
      </w:pPr>
    </w:p>
    <w:p w:rsidR="00A40CCE" w:rsidRDefault="00A40CCE">
      <w:bookmarkStart w:id="1" w:name="_GoBack"/>
      <w:bookmarkEnd w:id="1"/>
    </w:p>
    <w:p w:rsidR="00A40CCE" w:rsidRDefault="00A40CCE"/>
    <w:sectPr w:rsidR="00A40CCE" w:rsidSect="00A40CC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BB"/>
    <w:rsid w:val="001757BB"/>
    <w:rsid w:val="00925020"/>
    <w:rsid w:val="00A40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C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C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14218">
      <w:bodyDiv w:val="1"/>
      <w:marLeft w:val="0"/>
      <w:marRight w:val="0"/>
      <w:marTop w:val="0"/>
      <w:marBottom w:val="0"/>
      <w:divBdr>
        <w:top w:val="none" w:sz="0" w:space="0" w:color="auto"/>
        <w:left w:val="none" w:sz="0" w:space="0" w:color="auto"/>
        <w:bottom w:val="none" w:sz="0" w:space="0" w:color="auto"/>
        <w:right w:val="none" w:sz="0" w:space="0" w:color="auto"/>
      </w:divBdr>
      <w:divsChild>
        <w:div w:id="906305503">
          <w:marLeft w:val="0"/>
          <w:marRight w:val="0"/>
          <w:marTop w:val="0"/>
          <w:marBottom w:val="0"/>
          <w:divBdr>
            <w:top w:val="none" w:sz="0" w:space="0" w:color="auto"/>
            <w:left w:val="none" w:sz="0" w:space="0" w:color="auto"/>
            <w:bottom w:val="none" w:sz="0" w:space="0" w:color="auto"/>
            <w:right w:val="none" w:sz="0" w:space="0" w:color="auto"/>
          </w:divBdr>
        </w:div>
        <w:div w:id="361828764">
          <w:marLeft w:val="0"/>
          <w:marRight w:val="0"/>
          <w:marTop w:val="0"/>
          <w:marBottom w:val="0"/>
          <w:divBdr>
            <w:top w:val="none" w:sz="0" w:space="0" w:color="auto"/>
            <w:left w:val="none" w:sz="0" w:space="0" w:color="auto"/>
            <w:bottom w:val="none" w:sz="0" w:space="0" w:color="auto"/>
            <w:right w:val="none" w:sz="0" w:space="0" w:color="auto"/>
          </w:divBdr>
        </w:div>
        <w:div w:id="618027086">
          <w:marLeft w:val="0"/>
          <w:marRight w:val="0"/>
          <w:marTop w:val="0"/>
          <w:marBottom w:val="0"/>
          <w:divBdr>
            <w:top w:val="none" w:sz="0" w:space="0" w:color="auto"/>
            <w:left w:val="none" w:sz="0" w:space="0" w:color="auto"/>
            <w:bottom w:val="none" w:sz="0" w:space="0" w:color="auto"/>
            <w:right w:val="none" w:sz="0" w:space="0" w:color="auto"/>
          </w:divBdr>
        </w:div>
        <w:div w:id="1240141365">
          <w:marLeft w:val="0"/>
          <w:marRight w:val="0"/>
          <w:marTop w:val="0"/>
          <w:marBottom w:val="0"/>
          <w:divBdr>
            <w:top w:val="none" w:sz="0" w:space="0" w:color="auto"/>
            <w:left w:val="none" w:sz="0" w:space="0" w:color="auto"/>
            <w:bottom w:val="none" w:sz="0" w:space="0" w:color="auto"/>
            <w:right w:val="none" w:sz="0" w:space="0" w:color="auto"/>
          </w:divBdr>
        </w:div>
        <w:div w:id="114715067">
          <w:marLeft w:val="0"/>
          <w:marRight w:val="0"/>
          <w:marTop w:val="0"/>
          <w:marBottom w:val="0"/>
          <w:divBdr>
            <w:top w:val="none" w:sz="0" w:space="0" w:color="auto"/>
            <w:left w:val="none" w:sz="0" w:space="0" w:color="auto"/>
            <w:bottom w:val="none" w:sz="0" w:space="0" w:color="auto"/>
            <w:right w:val="none" w:sz="0" w:space="0" w:color="auto"/>
          </w:divBdr>
        </w:div>
        <w:div w:id="110326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4121</Words>
  <Characters>23495</Characters>
  <Application>Microsoft Office Word</Application>
  <DocSecurity>0</DocSecurity>
  <Lines>195</Lines>
  <Paragraphs>55</Paragraphs>
  <ScaleCrop>false</ScaleCrop>
  <Company>Hewlett-Packard Company</Company>
  <LinksUpToDate>false</LinksUpToDate>
  <CharactersWithSpaces>27561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Светланан Николаевна</dc:creator>
  <cp:keywords/>
  <dc:description/>
  <cp:lastModifiedBy>Куклина Светланан Николаевна</cp:lastModifiedBy>
  <cp:revision>2</cp:revision>
  <dcterms:created xsi:type="dcterms:W3CDTF">2015-03-20T07:13:00Z</dcterms:created>
  <dcterms:modified xsi:type="dcterms:W3CDTF">2015-03-20T07:14:00Z</dcterms:modified>
</cp:coreProperties>
</file>