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2A" w:rsidRPr="00EB2D25" w:rsidRDefault="00EB2D25" w:rsidP="00EB2D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ФОРМА СОГЛАШЕНИЯ</w:t>
      </w:r>
    </w:p>
    <w:p w:rsidR="00D8432A" w:rsidRPr="00EB2D25" w:rsidRDefault="00EB2D25" w:rsidP="00EB2D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взаимодействии между администрацией города Нижневартовска</w:t>
      </w:r>
    </w:p>
    <w:p w:rsidR="00D8432A" w:rsidRPr="00EB2D25" w:rsidRDefault="00EB2D25" w:rsidP="00EB2D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организациями, представляющими интересы предпринимательского</w:t>
      </w:r>
    </w:p>
    <w:p w:rsidR="00D8432A" w:rsidRPr="00EB2D25" w:rsidRDefault="00EB2D25" w:rsidP="00EB2D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инвестиционного сообщества, при оценке регулирующего</w:t>
      </w:r>
    </w:p>
    <w:p w:rsidR="00D8432A" w:rsidRPr="00EB2D25" w:rsidRDefault="00EB2D25" w:rsidP="00EB2D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оздействия проектов муниципальных нормативных правовых</w:t>
      </w:r>
    </w:p>
    <w:p w:rsidR="00D8432A" w:rsidRPr="00EB2D25" w:rsidRDefault="00EB2D25" w:rsidP="00EB2D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ктов, экспертизе муниципальных нормативных правовых актов</w:t>
      </w:r>
    </w:p>
    <w:p w:rsidR="00D8432A" w:rsidRPr="00EB2D25" w:rsidRDefault="00D8432A">
      <w:pPr>
        <w:pStyle w:val="ConsPlusNonformat"/>
        <w:jc w:val="both"/>
        <w:rPr>
          <w:sz w:val="28"/>
          <w:szCs w:val="28"/>
        </w:rPr>
      </w:pPr>
    </w:p>
    <w:p w:rsidR="00EB2D25" w:rsidRPr="0005694B" w:rsidRDefault="00EB2D25" w:rsidP="00EB2D25">
      <w:pPr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 xml:space="preserve">Администрация города Нижневартовска (далее – Администрация) в лице </w:t>
      </w:r>
    </w:p>
    <w:p w:rsidR="00EB2D25" w:rsidRPr="0005694B" w:rsidRDefault="00EB2D25" w:rsidP="00EB2D2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EB2D25" w:rsidRPr="0005694B" w:rsidRDefault="00EB2D25" w:rsidP="00EB2D25">
      <w:pPr>
        <w:tabs>
          <w:tab w:val="left" w:pos="1134"/>
        </w:tabs>
        <w:jc w:val="center"/>
        <w:rPr>
          <w:rFonts w:ascii="Times New Roman" w:hAnsi="Times New Roman"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(должность, фамилия, имя и отчество)</w:t>
      </w:r>
    </w:p>
    <w:p w:rsidR="00EB2D25" w:rsidRPr="0005694B" w:rsidRDefault="00EB2D25" w:rsidP="00EB2D2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действующего на основании ___________________________________________,</w:t>
      </w:r>
    </w:p>
    <w:p w:rsidR="00EB2D25" w:rsidRPr="0005694B" w:rsidRDefault="00EB2D25" w:rsidP="00EB2D25">
      <w:pPr>
        <w:tabs>
          <w:tab w:val="left" w:pos="1134"/>
        </w:tabs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(документ, устанавливающий полномочия)</w:t>
      </w:r>
    </w:p>
    <w:p w:rsidR="00EB2D25" w:rsidRPr="0005694B" w:rsidRDefault="00EB2D25" w:rsidP="00EB2D2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с одной стороны, и ___________________________________________________</w:t>
      </w:r>
    </w:p>
    <w:p w:rsidR="00EB2D25" w:rsidRPr="0005694B" w:rsidRDefault="00EB2D25" w:rsidP="00EB2D2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______________________________________________ (далее - ______________)</w:t>
      </w:r>
    </w:p>
    <w:p w:rsidR="00EB2D25" w:rsidRPr="0005694B" w:rsidRDefault="00EB2D25" w:rsidP="00EB2D25">
      <w:pPr>
        <w:tabs>
          <w:tab w:val="left" w:pos="1134"/>
        </w:tabs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организации, представляющей интересы предпринимательского </w:t>
      </w:r>
    </w:p>
    <w:p w:rsidR="00EB2D25" w:rsidRPr="0005694B" w:rsidRDefault="00EB2D25" w:rsidP="00EB2D25">
      <w:pPr>
        <w:tabs>
          <w:tab w:val="left" w:pos="1134"/>
        </w:tabs>
        <w:jc w:val="center"/>
        <w:rPr>
          <w:rFonts w:ascii="Times New Roman" w:hAnsi="Times New Roman"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и инвестиционного сообщества)</w:t>
      </w:r>
    </w:p>
    <w:p w:rsidR="00EB2D25" w:rsidRPr="0005694B" w:rsidRDefault="00EB2D25" w:rsidP="00EB2D2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в лице ______________________________________________________________,</w:t>
      </w:r>
    </w:p>
    <w:p w:rsidR="00EB2D25" w:rsidRPr="0005694B" w:rsidRDefault="00EB2D25" w:rsidP="00EB2D25">
      <w:pPr>
        <w:tabs>
          <w:tab w:val="left" w:pos="1134"/>
        </w:tabs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(должность, фамилия, имя и отчество представит</w:t>
      </w:r>
      <w:r>
        <w:rPr>
          <w:rFonts w:ascii="Times New Roman" w:hAnsi="Times New Roman"/>
          <w:i/>
          <w:sz w:val="20"/>
          <w:szCs w:val="20"/>
        </w:rPr>
        <w:t>еля организации, представляющей</w:t>
      </w:r>
      <w:r w:rsidRPr="0005694B">
        <w:rPr>
          <w:rFonts w:ascii="Times New Roman" w:hAnsi="Times New Roman"/>
          <w:i/>
          <w:sz w:val="20"/>
          <w:szCs w:val="20"/>
        </w:rPr>
        <w:t xml:space="preserve"> </w:t>
      </w:r>
    </w:p>
    <w:p w:rsidR="00EB2D25" w:rsidRPr="0005694B" w:rsidRDefault="00EB2D25" w:rsidP="00EB2D25">
      <w:pPr>
        <w:tabs>
          <w:tab w:val="left" w:pos="1134"/>
        </w:tabs>
        <w:jc w:val="center"/>
        <w:rPr>
          <w:rFonts w:ascii="Times New Roman" w:hAnsi="Times New Roman"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интересы предпринимательского и инвестиционного сообщества)</w:t>
      </w:r>
    </w:p>
    <w:p w:rsidR="00EB2D25" w:rsidRPr="0005694B" w:rsidRDefault="00EB2D25" w:rsidP="00EB2D2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действующего на основании ___________________________________________,</w:t>
      </w:r>
    </w:p>
    <w:p w:rsidR="00EB2D25" w:rsidRPr="0005694B" w:rsidRDefault="00EB2D25" w:rsidP="00EB2D25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(документ, устанавливающий полномочия)</w:t>
      </w:r>
    </w:p>
    <w:p w:rsidR="00EB2D25" w:rsidRPr="0005694B" w:rsidRDefault="00EB2D25" w:rsidP="00EB2D25">
      <w:pPr>
        <w:tabs>
          <w:tab w:val="left" w:pos="1134"/>
        </w:tabs>
        <w:spacing w:before="120" w:after="60"/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с другой стороны, именуемые совместно Стороны, заключили настоящее      Соглашение о нижеследующем:</w:t>
      </w:r>
    </w:p>
    <w:p w:rsidR="00D8432A" w:rsidRDefault="00D8432A">
      <w:pPr>
        <w:pStyle w:val="ConsPlusNormal"/>
        <w:jc w:val="both"/>
      </w:pPr>
    </w:p>
    <w:p w:rsidR="00EB2D25" w:rsidRDefault="00EB2D25" w:rsidP="00EB2D2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8432A" w:rsidRPr="00EB2D25" w:rsidRDefault="00EB2D25" w:rsidP="00EB2D2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I. Предмет Соглашения</w:t>
      </w:r>
    </w:p>
    <w:p w:rsidR="00D8432A" w:rsidRDefault="00D8432A">
      <w:pPr>
        <w:pStyle w:val="ConsPlusNormal"/>
        <w:jc w:val="both"/>
      </w:pP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 xml:space="preserve">1.1. Предметом настоящего Соглашения является взаимодействие Сторон в целях обеспечения информационно-аналитической поддержки проведения процедур оценки регулирующего воздействия проектов муниципальных </w:t>
      </w:r>
      <w:r w:rsidRPr="00EB2D25">
        <w:rPr>
          <w:rFonts w:eastAsia="Times New Roman" w:cs="Arial"/>
          <w:sz w:val="28"/>
          <w:szCs w:val="28"/>
        </w:rPr>
        <w:t>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деятельности.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1.2. Ответственными по настоящему Соглашению со стороны</w:t>
      </w:r>
      <w:r w:rsidRPr="00EB2D25">
        <w:rPr>
          <w:rFonts w:eastAsia="Times New Roman" w:cs="Arial"/>
          <w:sz w:val="28"/>
          <w:szCs w:val="28"/>
        </w:rPr>
        <w:t xml:space="preserve"> Администрации являются структурные подразделения администрации города, являющиеся регулирующими органами (органами, осуществляющими экспертизу муниципальных нормативных правовых актов) (далее - структурные подразделения администрации города).</w:t>
      </w:r>
    </w:p>
    <w:p w:rsidR="00D8432A" w:rsidRDefault="00D8432A">
      <w:pPr>
        <w:pStyle w:val="ConsPlusNormal"/>
        <w:jc w:val="both"/>
      </w:pPr>
    </w:p>
    <w:p w:rsidR="00D8432A" w:rsidRPr="00EB2D25" w:rsidRDefault="00EB2D25" w:rsidP="00EB2D2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II. Обязанн</w:t>
      </w: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ости Сторон</w:t>
      </w:r>
    </w:p>
    <w:p w:rsidR="00D8432A" w:rsidRDefault="00D8432A">
      <w:pPr>
        <w:pStyle w:val="ConsPlusNormal"/>
        <w:jc w:val="both"/>
      </w:pP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2.1. Администрация в лице структурных подразделений администрации города: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обеспечивает направление уведомления о проведении публичных консультаций или опросного листа участников публичных консультаций, проекта муниципального нормативного пра</w:t>
      </w:r>
      <w:r w:rsidRPr="00EB2D25">
        <w:rPr>
          <w:rFonts w:eastAsia="Times New Roman" w:cs="Arial"/>
          <w:sz w:val="28"/>
          <w:szCs w:val="28"/>
        </w:rPr>
        <w:t xml:space="preserve">вового акта, в отношении которого проводится оценка регулирующего воздействия, и пояснительной записки к </w:t>
      </w:r>
      <w:r w:rsidRPr="00EB2D25">
        <w:rPr>
          <w:rFonts w:eastAsia="Times New Roman" w:cs="Arial"/>
          <w:sz w:val="28"/>
          <w:szCs w:val="28"/>
        </w:rPr>
        <w:lastRenderedPageBreak/>
        <w:t>нему или муниципального нормативного правового акта, в отношении которого проводится экспертиза;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рассматривает предложения и замечания субъектов пред</w:t>
      </w:r>
      <w:r w:rsidRPr="00EB2D25">
        <w:rPr>
          <w:rFonts w:eastAsia="Times New Roman" w:cs="Arial"/>
          <w:sz w:val="28"/>
          <w:szCs w:val="28"/>
        </w:rPr>
        <w:t>принимательской и инвестиционной деятельности относительно положений проекта муниципального нормативного правового акта, в отношении которого проводится оценка регулирующего воздействия, или муниципального нормативного правового акта, подлежащего экспертиз</w:t>
      </w:r>
      <w:r w:rsidRPr="00EB2D25">
        <w:rPr>
          <w:rFonts w:eastAsia="Times New Roman" w:cs="Arial"/>
          <w:sz w:val="28"/>
          <w:szCs w:val="28"/>
        </w:rPr>
        <w:t>е, результаты рассмотрения которых оформляет сводкой предложений;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определяет лиц, ответственных за взаимодействие между структурными подразделениями администрации города и представителями предпринимательского и инвестиционного сообщества в ходе публичных</w:t>
      </w:r>
      <w:r w:rsidRPr="00EB2D25">
        <w:rPr>
          <w:rFonts w:eastAsia="Times New Roman" w:cs="Arial"/>
          <w:sz w:val="28"/>
          <w:szCs w:val="28"/>
        </w:rPr>
        <w:t xml:space="preserve"> консультаций в отношении проекта муниципального нормативного правового акта или действующего муниципального нормативного правового акта;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обеспечивает организационно-техническое сопровождение реализации настоящего Соглашения.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2.2. Организации, представляющие интересы предпринимательского и инвестиционного сообщества: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</w:t>
      </w:r>
      <w:r w:rsidRPr="00EB2D25">
        <w:rPr>
          <w:rFonts w:eastAsia="Times New Roman" w:cs="Arial"/>
          <w:sz w:val="28"/>
          <w:szCs w:val="28"/>
        </w:rPr>
        <w:t>ципального нормативного правового акта, в том числе посредством портала проектов (http://regulation.admhmao.ru);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организуют сбор информации по вопросам, поставленным в ходе проведения публичных консультаций, осуществляют анализ и обобщение указанной инфо</w:t>
      </w:r>
      <w:r w:rsidRPr="00EB2D25">
        <w:rPr>
          <w:rFonts w:eastAsia="Times New Roman" w:cs="Arial"/>
          <w:sz w:val="28"/>
          <w:szCs w:val="28"/>
        </w:rPr>
        <w:t>рмации, формируют сводную позицию членов организаций, представляющих интересы предпринимательского и инвестиционного сообщества, относительно положений проекта муниципального нормативного правового акта или действующего муниципального нормативного правовог</w:t>
      </w:r>
      <w:r w:rsidRPr="00EB2D25">
        <w:rPr>
          <w:rFonts w:eastAsia="Times New Roman" w:cs="Arial"/>
          <w:sz w:val="28"/>
          <w:szCs w:val="28"/>
        </w:rPr>
        <w:t>о акта;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направляют предложения и замечания о необходимости включения муниципальных нормативных правовых актов в ежегодный план проведения экспертизы муниципальных нормативных правовых актов, а также относительно положений муниципального нормативного прав</w:t>
      </w:r>
      <w:r w:rsidRPr="00EB2D25">
        <w:rPr>
          <w:rFonts w:eastAsia="Times New Roman" w:cs="Arial"/>
          <w:sz w:val="28"/>
          <w:szCs w:val="28"/>
        </w:rPr>
        <w:t>ового акта, необоснованно затрудняющих осуществление предпринимательской и иной экономической деятельности, инвестиционной деятельности, положений проекта муниципального нормативного правового акта, которые вводят обязательные требования для субъектов пред</w:t>
      </w:r>
      <w:r w:rsidRPr="00EB2D25">
        <w:rPr>
          <w:rFonts w:eastAsia="Times New Roman" w:cs="Arial"/>
          <w:sz w:val="28"/>
          <w:szCs w:val="28"/>
        </w:rPr>
        <w:t>принимательской и иной экономической деятельности, обязанности для субъектов инвестиционной деятельности или способствуют их введению, а также способствуют возникновению необоснованных расходов указанных субъектов и бюджета города Нижневартовска;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определ</w:t>
      </w:r>
      <w:r w:rsidRPr="00EB2D25">
        <w:rPr>
          <w:rFonts w:eastAsia="Times New Roman" w:cs="Arial"/>
          <w:sz w:val="28"/>
          <w:szCs w:val="28"/>
        </w:rPr>
        <w:t>яют в целях проведения публичных консультаций работников, ответственных за организацию подготовки предложений и замечаний по обсуждаемым положениям проектов муниципальных нормативных правовых актов (муниципальных нормативных правовых актов), и направляют к</w:t>
      </w:r>
      <w:r w:rsidRPr="00EB2D25">
        <w:rPr>
          <w:rFonts w:eastAsia="Times New Roman" w:cs="Arial"/>
          <w:sz w:val="28"/>
          <w:szCs w:val="28"/>
        </w:rPr>
        <w:t xml:space="preserve">онтактные данные указанных работников в структурные подразделения </w:t>
      </w:r>
      <w:r w:rsidRPr="00EB2D25">
        <w:rPr>
          <w:rFonts w:eastAsia="Times New Roman" w:cs="Arial"/>
          <w:sz w:val="28"/>
          <w:szCs w:val="28"/>
        </w:rPr>
        <w:lastRenderedPageBreak/>
        <w:t>администрации города;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размещают на своих официальных сайтах в сети "Интернет" информацию об оценке регулирующего воздействия проектов муниципальных нормативных правовых актов, экспертизе м</w:t>
      </w:r>
      <w:r w:rsidRPr="00EB2D25">
        <w:rPr>
          <w:rFonts w:eastAsia="Times New Roman" w:cs="Arial"/>
          <w:sz w:val="28"/>
          <w:szCs w:val="28"/>
        </w:rPr>
        <w:t>униципальных нормативных правовых актов;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представляют предложения по вопросам проведения оценки регулирующего воздействия проектов муниципальных нормативных правовых актов, экспертизы муниципальных нормативных правовых актов.</w:t>
      </w:r>
    </w:p>
    <w:p w:rsidR="00D8432A" w:rsidRDefault="00D8432A">
      <w:pPr>
        <w:pStyle w:val="ConsPlusNormal"/>
        <w:jc w:val="both"/>
      </w:pPr>
    </w:p>
    <w:p w:rsidR="00D8432A" w:rsidRPr="00EB2D25" w:rsidRDefault="00EB2D25" w:rsidP="00EB2D2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III. Права Сторон</w:t>
      </w:r>
    </w:p>
    <w:p w:rsidR="00D8432A" w:rsidRDefault="00D8432A">
      <w:pPr>
        <w:pStyle w:val="ConsPlusNormal"/>
        <w:jc w:val="both"/>
      </w:pP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3.1. Администрация в лице структурных подразделений администрации города вправе: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направлять запросы в организации, представляющие интересы предпринимательского и инвестиционного сообщества, о представлении информационно-аналитических материалов, в том чи</w:t>
      </w:r>
      <w:r w:rsidRPr="00EB2D25">
        <w:rPr>
          <w:rFonts w:eastAsia="Times New Roman" w:cs="Arial"/>
          <w:sz w:val="28"/>
          <w:szCs w:val="28"/>
        </w:rPr>
        <w:t>сле сведений о стандартных издержках субъектов предпринимательской и иной экономической деятельности, инвестиционной деятельности на соблюдение требований законодательства, сведений о развитии предпринимательской и иной экономической деятельности, инвестиц</w:t>
      </w:r>
      <w:r w:rsidRPr="00EB2D25">
        <w:rPr>
          <w:rFonts w:eastAsia="Times New Roman" w:cs="Arial"/>
          <w:sz w:val="28"/>
          <w:szCs w:val="28"/>
        </w:rPr>
        <w:t>ионной деятельности в отдельных отраслях, о качественном и количественном составе субъектов предпринимательской и иной экономической деятельности, инвестиционной деятельности в отдельных отраслях, иных сведений, необходимых для оценки регулирующего воздейс</w:t>
      </w:r>
      <w:r w:rsidRPr="00EB2D25">
        <w:rPr>
          <w:rFonts w:eastAsia="Times New Roman" w:cs="Arial"/>
          <w:sz w:val="28"/>
          <w:szCs w:val="28"/>
        </w:rPr>
        <w:t>твия проектов муниципальных нормативных правовых актов, экспертизы муниципальных нормативных правовых актов;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запрашивать у организаций, представляющих интересы предпринимательского и инвестиционного сообщества, предложения, необходимые для формирования п</w:t>
      </w:r>
      <w:r w:rsidRPr="00EB2D25">
        <w:rPr>
          <w:rFonts w:eastAsia="Times New Roman" w:cs="Arial"/>
          <w:sz w:val="28"/>
          <w:szCs w:val="28"/>
        </w:rPr>
        <w:t>ланов проведения экспертизы муниципальных нормативных правовых актов;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направлять своих представителей для участия в совещаниях, "круглых столах" и иных мероприятиях, проводимых организациями, представляющими интересы предпринимательского и инвестиционног</w:t>
      </w:r>
      <w:r w:rsidRPr="00EB2D25">
        <w:rPr>
          <w:rFonts w:eastAsia="Times New Roman" w:cs="Arial"/>
          <w:sz w:val="28"/>
          <w:szCs w:val="28"/>
        </w:rPr>
        <w:t>о сообщества, и направленных на активное привлечение субъектов предпринимательской и иной экономической деятельности, инвестиционной деятельности к участию в публичных консультациях, разъяснение ключевых вопросов функционирования института оценки регулирую</w:t>
      </w:r>
      <w:r w:rsidRPr="00EB2D25">
        <w:rPr>
          <w:rFonts w:eastAsia="Times New Roman" w:cs="Arial"/>
          <w:sz w:val="28"/>
          <w:szCs w:val="28"/>
        </w:rPr>
        <w:t>щего воздействия проектов муниципальных нормативных правовых актов.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3.2. Организации, представляющие интересы предпринимательского и инвестиционного сообщества, вправе: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направлять в структурные подразделения администрации города предложения и замечания с</w:t>
      </w:r>
      <w:r w:rsidRPr="00EB2D25">
        <w:rPr>
          <w:rFonts w:eastAsia="Times New Roman" w:cs="Arial"/>
          <w:sz w:val="28"/>
          <w:szCs w:val="28"/>
        </w:rPr>
        <w:t>убъектов предпринимательской и иной экономической деятельности, инвестиционной деятельности о необходимости включения муниципальных нормативных правовых актов в ежегодный план проведения экспертизы муниципальных нормативных правовых актов, а также относите</w:t>
      </w:r>
      <w:r w:rsidRPr="00EB2D25">
        <w:rPr>
          <w:rFonts w:eastAsia="Times New Roman" w:cs="Arial"/>
          <w:sz w:val="28"/>
          <w:szCs w:val="28"/>
        </w:rPr>
        <w:t xml:space="preserve">льно положений проекта муниципального нормативного правового акта, подлежащего оценке регулирующего воздействия, или действующего </w:t>
      </w:r>
      <w:r w:rsidRPr="00EB2D25">
        <w:rPr>
          <w:rFonts w:eastAsia="Times New Roman" w:cs="Arial"/>
          <w:sz w:val="28"/>
          <w:szCs w:val="28"/>
        </w:rPr>
        <w:lastRenderedPageBreak/>
        <w:t>муниципального нормативного правового акта, подлежащего экспертизе, и предложения по совершенствованию института оценки регули</w:t>
      </w:r>
      <w:r w:rsidRPr="00EB2D25">
        <w:rPr>
          <w:rFonts w:eastAsia="Times New Roman" w:cs="Arial"/>
          <w:sz w:val="28"/>
          <w:szCs w:val="28"/>
        </w:rPr>
        <w:t>рующего воздействия проектов муниципальных нормативных правовых актов;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запрашивать в структурных подразделениях администрации города в электронной или бумажной форме копии сводного отчета и заключения об оценке регулирующего воздействия проекта муниципал</w:t>
      </w:r>
      <w:r w:rsidRPr="00EB2D25">
        <w:rPr>
          <w:rFonts w:eastAsia="Times New Roman" w:cs="Arial"/>
          <w:sz w:val="28"/>
          <w:szCs w:val="28"/>
        </w:rPr>
        <w:t>ьного нормативного правового акта, экспертизе муниципального нормативного правового акта, по которому проводились публичные консультации, а также копии муниципальных нормативных правовых актов и методические документы по вопросам проведения оценки регулиру</w:t>
      </w:r>
      <w:r w:rsidRPr="00EB2D25">
        <w:rPr>
          <w:rFonts w:eastAsia="Times New Roman" w:cs="Arial"/>
          <w:sz w:val="28"/>
          <w:szCs w:val="28"/>
        </w:rPr>
        <w:t>ющего воздействия проектов муниципальных нормативных правовых актов, экспертизы муниципальных нормативных правовых актов, информационные материалы о деятельности структурных подразделений администрации города по оценке регулирующего воздействия проектов му</w:t>
      </w:r>
      <w:r w:rsidRPr="00EB2D25">
        <w:rPr>
          <w:rFonts w:eastAsia="Times New Roman" w:cs="Arial"/>
          <w:sz w:val="28"/>
          <w:szCs w:val="28"/>
        </w:rPr>
        <w:t>ниципальных нормативных правовых актов, экспертизе муниципальных нормативных правовых актов;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- принимать участие в совещаниях, "круглых столах" и иных мероприятиях, проводимых структурными подразделениями администрации города и направленных на активное при</w:t>
      </w:r>
      <w:r w:rsidRPr="00EB2D25">
        <w:rPr>
          <w:rFonts w:eastAsia="Times New Roman" w:cs="Arial"/>
          <w:sz w:val="28"/>
          <w:szCs w:val="28"/>
        </w:rPr>
        <w:t>влечение субъектов предпринимательской и иной экономической деятельности, инвестиционной деятельности к участию в публичных консультациях, разъяснение ключевых вопросов функционирования института оценки регулирующего воздействия проектов муниципальных норм</w:t>
      </w:r>
      <w:r w:rsidRPr="00EB2D25">
        <w:rPr>
          <w:rFonts w:eastAsia="Times New Roman" w:cs="Arial"/>
          <w:sz w:val="28"/>
          <w:szCs w:val="28"/>
        </w:rPr>
        <w:t>ативных правовых актов.</w:t>
      </w:r>
    </w:p>
    <w:p w:rsidR="00D8432A" w:rsidRDefault="00D8432A">
      <w:pPr>
        <w:pStyle w:val="ConsPlusNormal"/>
        <w:jc w:val="both"/>
      </w:pPr>
    </w:p>
    <w:p w:rsidR="00D8432A" w:rsidRPr="00EB2D25" w:rsidRDefault="00EB2D25" w:rsidP="00EB2D2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2D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IV. Заключительные положения</w:t>
      </w:r>
    </w:p>
    <w:p w:rsidR="00D8432A" w:rsidRDefault="00D8432A">
      <w:pPr>
        <w:pStyle w:val="ConsPlusNormal"/>
        <w:jc w:val="both"/>
      </w:pP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4.1. Настоящее Соглашение заключается сроком на два года и вступает в силу с даты его подписания.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4.2. Изменения настоящего Соглашения, принимаемые по предложениям Сторон, оформляются в письменной форм</w:t>
      </w:r>
      <w:r w:rsidRPr="00EB2D25">
        <w:rPr>
          <w:rFonts w:eastAsia="Times New Roman" w:cs="Arial"/>
          <w:sz w:val="28"/>
          <w:szCs w:val="28"/>
        </w:rPr>
        <w:t>е и становятся его неотъемлемой частью с даты их подписания Сторонами.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4.3. Споры и разногласия, возникающие при исполнении условий настоящего Соглашения, разрешаются путем переговоров.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4.4. Настоящее Соглашение может быть расторгнуто по инициативе любой и</w:t>
      </w:r>
      <w:r w:rsidRPr="00EB2D25">
        <w:rPr>
          <w:rFonts w:eastAsia="Times New Roman" w:cs="Arial"/>
          <w:sz w:val="28"/>
          <w:szCs w:val="28"/>
        </w:rPr>
        <w:t>з Сторон, при этом одна Сторона должна письменно уведомить другую Сторону не менее чем за три месяца до предполагаемой даты прекращения действия настоящего Соглашения.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4.5. Если по истечении срока действия настоящего Соглашения ни одна из Сторон не выразила желание прекратить взаимодействие, настоящее Соглашение считается пролонгированным на каждые последующие два года.</w:t>
      </w: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4.6. Настоящее Соглашение составлено в двух экземпл</w:t>
      </w:r>
      <w:r w:rsidRPr="00EB2D25">
        <w:rPr>
          <w:rFonts w:eastAsia="Times New Roman" w:cs="Arial"/>
          <w:sz w:val="28"/>
          <w:szCs w:val="28"/>
        </w:rPr>
        <w:t>ярах, имеющих равную юридическую силу, по одному для каждой из Сторон.</w:t>
      </w:r>
    </w:p>
    <w:p w:rsidR="00D8432A" w:rsidRDefault="00D8432A">
      <w:pPr>
        <w:pStyle w:val="ConsPlusNormal"/>
        <w:jc w:val="both"/>
      </w:pPr>
    </w:p>
    <w:p w:rsidR="00D8432A" w:rsidRPr="00EB2D25" w:rsidRDefault="00EB2D25" w:rsidP="00EB2D25">
      <w:pPr>
        <w:pStyle w:val="ConsPlusNormal"/>
        <w:adjustRightInd w:val="0"/>
        <w:ind w:firstLine="540"/>
        <w:jc w:val="both"/>
        <w:rPr>
          <w:rFonts w:eastAsia="Times New Roman" w:cs="Arial"/>
          <w:sz w:val="28"/>
          <w:szCs w:val="28"/>
        </w:rPr>
      </w:pPr>
      <w:r w:rsidRPr="00EB2D25">
        <w:rPr>
          <w:rFonts w:eastAsia="Times New Roman" w:cs="Arial"/>
          <w:sz w:val="28"/>
          <w:szCs w:val="28"/>
        </w:rPr>
        <w:t>Подписи сторон:</w:t>
      </w:r>
    </w:p>
    <w:p w:rsidR="00D8432A" w:rsidRDefault="00D8432A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D8432A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8432A" w:rsidRDefault="00EB2D25">
            <w:pPr>
              <w:pStyle w:val="ConsPlusNormal"/>
              <w:jc w:val="center"/>
            </w:pPr>
            <w:r>
              <w:t>___________________________________</w:t>
            </w:r>
          </w:p>
          <w:p w:rsidR="00D8432A" w:rsidRDefault="00EB2D25">
            <w:pPr>
              <w:pStyle w:val="ConsPlusNormal"/>
              <w:jc w:val="center"/>
            </w:pPr>
            <w:r>
              <w:lastRenderedPageBreak/>
              <w:t>___________________________________</w:t>
            </w:r>
          </w:p>
          <w:p w:rsidR="00D8432A" w:rsidRDefault="00EB2D25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8432A" w:rsidRDefault="00EB2D25">
            <w:pPr>
              <w:pStyle w:val="ConsPlusNormal"/>
              <w:jc w:val="center"/>
            </w:pPr>
            <w:r>
              <w:lastRenderedPageBreak/>
              <w:t>___________________________________</w:t>
            </w:r>
          </w:p>
          <w:p w:rsidR="00D8432A" w:rsidRDefault="00EB2D25">
            <w:pPr>
              <w:pStyle w:val="ConsPlusNormal"/>
              <w:jc w:val="center"/>
            </w:pPr>
            <w:r>
              <w:lastRenderedPageBreak/>
              <w:t>___________________________________</w:t>
            </w:r>
          </w:p>
          <w:p w:rsidR="00D8432A" w:rsidRDefault="00EB2D25">
            <w:pPr>
              <w:pStyle w:val="ConsPlusNormal"/>
              <w:jc w:val="center"/>
            </w:pPr>
            <w:r>
              <w:t>М.П.</w:t>
            </w:r>
          </w:p>
        </w:tc>
      </w:tr>
    </w:tbl>
    <w:p w:rsidR="00D8432A" w:rsidRDefault="00D8432A">
      <w:pPr>
        <w:pStyle w:val="ConsPlusNormal"/>
        <w:jc w:val="both"/>
      </w:pPr>
    </w:p>
    <w:p w:rsidR="00D8432A" w:rsidRDefault="00EB2D25">
      <w:pPr>
        <w:pStyle w:val="ConsPlusNormal"/>
      </w:pPr>
      <w:r>
        <w:rPr>
          <w:i/>
        </w:rPr>
        <w:br/>
      </w:r>
    </w:p>
    <w:sectPr w:rsidR="00D8432A" w:rsidSect="00EB2D25">
      <w:pgSz w:w="11906" w:h="16838"/>
      <w:pgMar w:top="1134" w:right="567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32A"/>
    <w:rsid w:val="00D8432A"/>
    <w:rsid w:val="00E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1A08"/>
  <w15:docId w15:val="{03256791-C08F-45EA-A2EF-F21B0280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1567</Words>
  <Characters>8933</Characters>
  <Application>Microsoft Office Word</Application>
  <DocSecurity>0</DocSecurity>
  <Lines>74</Lines>
  <Paragraphs>20</Paragraphs>
  <ScaleCrop>false</ScaleCrop>
  <Company>КонсультантПлюс Версия 4024.00.50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29.10.2015 N 1935
(ред. от 30.05.2024)
"Об организации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деятельности"
(вместе с "Порядком проведения оценки регулирующего воздействия проектов муниципальных нормативных правовых актов, экспертизы муниципальных нормати</dc:title>
  <cp:lastModifiedBy>Шебуняева Ксения Олеговна</cp:lastModifiedBy>
  <cp:revision>2</cp:revision>
  <dcterms:created xsi:type="dcterms:W3CDTF">2025-05-28T06:25:00Z</dcterms:created>
  <dcterms:modified xsi:type="dcterms:W3CDTF">2025-05-28T06:30:00Z</dcterms:modified>
</cp:coreProperties>
</file>