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6"/>
        <w:jc w:val="center"/>
        <w:shd w:val="clear" w:color="auto" w:fill="ffffff"/>
        <w:rPr>
          <w:b/>
          <w:bCs/>
          <w:color w:val="000000" w:themeColor="text1"/>
          <w:spacing w:val="3"/>
          <w:sz w:val="28"/>
          <w:szCs w:val="28"/>
        </w:rPr>
      </w:pPr>
      <w:r>
        <w:rPr>
          <w:color w:val="000000" w:themeColor="text1"/>
        </w:rPr>
      </w:r>
      <w:bookmarkStart w:id="0" w:name="_Toc273968111"/>
      <w:r>
        <w:rPr>
          <w:b/>
          <w:color w:val="000000" w:themeColor="text1"/>
          <w:spacing w:val="3"/>
          <w:sz w:val="28"/>
          <w:szCs w:val="28"/>
        </w:rPr>
        <w:t xml:space="preserve">Дополнительное соглашение №1 </w:t>
      </w:r>
      <w:r>
        <w:rPr>
          <w:color w:val="000000" w:themeColor="text1"/>
        </w:rPr>
      </w:r>
      <w:r/>
    </w:p>
    <w:p>
      <w:pPr>
        <w:pStyle w:val="766"/>
        <w:jc w:val="center"/>
        <w:shd w:val="clear" w:color="auto" w:fill="ffffff"/>
        <w:rPr>
          <w:b/>
          <w:bCs/>
          <w:color w:val="000000" w:themeColor="text1"/>
          <w:spacing w:val="3"/>
          <w:sz w:val="28"/>
          <w:szCs w:val="28"/>
        </w:rPr>
      </w:pPr>
      <w:r>
        <w:rPr>
          <w:b/>
          <w:color w:val="000000" w:themeColor="text1"/>
          <w:spacing w:val="3"/>
          <w:sz w:val="28"/>
          <w:szCs w:val="28"/>
        </w:rPr>
        <w:t xml:space="preserve">к Отраслевому соглашению </w:t>
      </w:r>
      <w:r>
        <w:rPr>
          <w:b/>
          <w:color w:val="000000" w:themeColor="text1"/>
          <w:sz w:val="28"/>
          <w:szCs w:val="28"/>
        </w:rPr>
        <w:t xml:space="preserve">между администрацией города Нижневартовска и Нижневартовской городской организацией Профсоюза работников народного образования и науки Российской Федерации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по </w:t>
      </w:r>
      <w:r>
        <w:rPr>
          <w:b/>
          <w:color w:val="000000" w:themeColor="text1"/>
          <w:sz w:val="28"/>
          <w:szCs w:val="28"/>
        </w:rPr>
        <w:t xml:space="preserve">регулированию социально-трудовых отношений работников муниципальных образовательных организаций, подведомственных департаменту образования администрации города,</w:t>
      </w:r>
      <w:r>
        <w:rPr>
          <w:b/>
          <w:color w:val="000000" w:themeColor="text1"/>
          <w:spacing w:val="-3"/>
          <w:sz w:val="28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pStyle w:val="766"/>
        <w:jc w:val="center"/>
        <w:rPr>
          <w:b/>
          <w:color w:val="000000" w:themeColor="text1"/>
          <w:spacing w:val="-3"/>
          <w:sz w:val="28"/>
          <w:szCs w:val="28"/>
        </w:rPr>
      </w:pPr>
      <w:r>
        <w:rPr>
          <w:b/>
          <w:color w:val="000000" w:themeColor="text1"/>
          <w:spacing w:val="-3"/>
          <w:sz w:val="28"/>
          <w:szCs w:val="28"/>
        </w:rPr>
        <w:t xml:space="preserve">на </w:t>
      </w:r>
      <w:r>
        <w:rPr>
          <w:b/>
          <w:bCs/>
          <w:color w:val="000000" w:themeColor="text1"/>
          <w:spacing w:val="-3"/>
          <w:sz w:val="28"/>
          <w:szCs w:val="28"/>
        </w:rPr>
        <w:t xml:space="preserve">2023-2025 </w:t>
      </w:r>
      <w:r>
        <w:rPr>
          <w:b/>
          <w:color w:val="000000" w:themeColor="text1"/>
          <w:spacing w:val="-3"/>
          <w:sz w:val="28"/>
          <w:szCs w:val="28"/>
        </w:rPr>
        <w:t xml:space="preserve">годы</w:t>
      </w:r>
      <w:r>
        <w:rPr>
          <w:color w:val="000000" w:themeColor="text1"/>
        </w:rPr>
      </w:r>
      <w:r/>
    </w:p>
    <w:p>
      <w:pPr>
        <w:pStyle w:val="766"/>
        <w:jc w:val="center"/>
        <w:rPr>
          <w:b/>
          <w:color w:val="000000" w:themeColor="text1"/>
          <w:spacing w:val="-3"/>
          <w:sz w:val="28"/>
          <w:szCs w:val="28"/>
        </w:rPr>
      </w:pPr>
      <w:r>
        <w:rPr>
          <w:b/>
          <w:color w:val="000000" w:themeColor="text1"/>
          <w:spacing w:val="-3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pacing w:val="-3"/>
          <w:sz w:val="28"/>
          <w:szCs w:val="28"/>
        </w:rPr>
        <w:t xml:space="preserve">г. Нижневартовск                                                            </w:t>
      </w:r>
      <w:r>
        <w:rPr>
          <w:b/>
          <w:bCs/>
          <w:color w:val="000000" w:themeColor="text1"/>
          <w:spacing w:val="-3"/>
          <w:sz w:val="28"/>
          <w:szCs w:val="28"/>
        </w:rPr>
        <w:t xml:space="preserve">«30» августа 2024</w:t>
      </w:r>
      <w:bookmarkEnd w:id="0"/>
      <w:r>
        <w:rPr>
          <w:b/>
          <w:bCs/>
          <w:color w:val="000000" w:themeColor="text1"/>
          <w:sz w:val="28"/>
          <w:szCs w:val="28"/>
        </w:rPr>
        <w:t xml:space="preserve"> года</w:t>
      </w:r>
      <w:r>
        <w:rPr>
          <w:color w:val="000000" w:themeColor="text1"/>
        </w:rPr>
      </w:r>
      <w:r/>
    </w:p>
    <w:p>
      <w:pPr>
        <w:pStyle w:val="76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Настоящее Дополнительное соглашение №1 к Отраслевому соглашению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между администрацией города Нижневартовска и Нижневартовской городской организацией Профсоюза работников народного образования и науки Российской Федерации по регулированию социально-трудовых отношений работников муниципал</w:t>
      </w:r>
      <w:r>
        <w:rPr>
          <w:color w:val="000000" w:themeColor="text1"/>
          <w:sz w:val="28"/>
          <w:szCs w:val="28"/>
        </w:rPr>
        <w:t xml:space="preserve">ьных образовательных организаций, подведомственных департаменту образования администрации города, на 2023-2025 годы (далее - Отраслевое соглашение), заключено в соответствии с Трудовым кодексом Российской Федерации, Федеральным законом от 12.01.1996 №10-ФЗ</w:t>
      </w:r>
      <w:r>
        <w:rPr>
          <w:color w:val="000000" w:themeColor="text1"/>
          <w:sz w:val="28"/>
          <w:szCs w:val="28"/>
        </w:rPr>
        <w:t xml:space="preserve"> «О профессиональных союзах, их правах и гарантиях деятельности», иными нормативными правовыми актами, содержащими нормы трудового права Российской Федерации и Ханты-Мансийского автономного округа - Югры, вышестоящими Соглашениями о социальном партнерстве.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Стороны Отраслевого соглашения: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Работодатели муниципальных образовательных организаций, подведомственных департаменту образования администрации города, в лице их полномочного представителя - Администрации города Нижневартовска, именуемые в Отраслевом соглашении  – Администрация города,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Работники муниципальных образовательных организаций, подведомственных департаменту</w:t>
      </w:r>
      <w:r>
        <w:rPr>
          <w:color w:val="000000" w:themeColor="text1"/>
          <w:sz w:val="28"/>
          <w:szCs w:val="28"/>
        </w:rPr>
        <w:t xml:space="preserve"> образования администрации города, в лице их полномочного представителя - председателя Нижневартовской городской организации Профессионального союза работников народного образования и науки Российской Федерации, именуемые в Отраслевом соглашении - Профсоюз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заключили настоящее Дополнительное соглашение №1 к Отраслевому соглашению о нижеследующем: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27"/>
        <w:numPr>
          <w:ilvl w:val="0"/>
          <w:numId w:val="1"/>
        </w:numPr>
        <w:contextualSpacing/>
        <w:ind w:left="0" w:firstLine="567"/>
        <w:jc w:val="both"/>
        <w:spacing w:before="0" w:after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 всему тексту Отраслевого соглашения слова «Профсоюза работников» заменить словами «Профессионального союза работников».</w:t>
      </w:r>
      <w:r>
        <w:rPr>
          <w:color w:val="000000" w:themeColor="text1"/>
        </w:rPr>
      </w:r>
      <w:r/>
    </w:p>
    <w:p>
      <w:pPr>
        <w:pStyle w:val="827"/>
        <w:numPr>
          <w:ilvl w:val="0"/>
          <w:numId w:val="1"/>
        </w:numPr>
        <w:contextualSpacing/>
        <w:ind w:left="0" w:firstLine="567"/>
        <w:jc w:val="both"/>
        <w:spacing w:before="0" w:after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Приложение к Отраслевому соглашению слово «профсоюза»  заменить словами «Профессионального союза»</w:t>
      </w:r>
      <w:r>
        <w:rPr>
          <w:color w:val="000000" w:themeColor="text1"/>
        </w:rPr>
      </w:r>
      <w:r/>
    </w:p>
    <w:p>
      <w:pPr>
        <w:pStyle w:val="827"/>
        <w:numPr>
          <w:ilvl w:val="0"/>
          <w:numId w:val="1"/>
        </w:numPr>
        <w:contextualSpacing/>
        <w:ind w:left="0" w:firstLine="567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Пункт 7.1. Раздела 7. СОЦИАЛЬНАЯ ЗАЩИЩЕННОСТЬ РАБОТНИКОВ изложить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следующей </w:t>
      </w:r>
      <w:r>
        <w:rPr>
          <w:color w:val="000000" w:themeColor="text1"/>
          <w:sz w:val="28"/>
          <w:szCs w:val="28"/>
        </w:rPr>
        <w:t xml:space="preserve">редакции: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7.1. Выплачивать работникам муниципальных образовательных организаций: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единовременную премию к праздничным дням, профессиональным праздникам;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единовременную выплату при предоставлении ежегодного оплачиваемого отпуска;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единовременную выплату молодым специалистам;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ежемесячную доплату за ученую степень;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  <w:tab w:val="left" w:pos="850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ежемесячную доплату на обеспечение книгоиздательской продукцией;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  <w:sz w:val="28"/>
          <w:szCs w:val="28"/>
          <w14:ligatures w14:val="none"/>
        </w:rPr>
      </w:pPr>
      <w:r>
        <w:rPr>
          <w:color w:val="000000" w:themeColor="text1"/>
          <w:sz w:val="28"/>
          <w:szCs w:val="28"/>
        </w:rPr>
        <w:t xml:space="preserve">- персональную доплату к окладу (должностному окладу);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единовременную выплату при увольнении в связи с выходом на пенсию по достижении пенсионного возраста впервые; 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- единовременную выплату в связи со смертью членов семьи работника (супруг (супруга, родители, дети), а также в случае смерти работника одному из членов его семьи (супруг (супруга), родители, дети).</w:t>
      </w:r>
      <w:r>
        <w:rPr>
          <w:color w:val="000000" w:themeColor="text1"/>
        </w:rPr>
      </w:r>
      <w:r/>
    </w:p>
    <w:p>
      <w:pPr>
        <w:pStyle w:val="766"/>
        <w:ind w:firstLine="709"/>
        <w:jc w:val="both"/>
        <w:tabs>
          <w:tab w:val="left" w:pos="0" w:leader="none"/>
          <w:tab w:val="clear" w:pos="708" w:leader="none"/>
        </w:tabs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Размер, условия и порядок их предоставления устанавливаются муниципальными правовыми актами города Нижневартовска и принятыми в соответствии с ними коллективными договорами, локальными нормативными актами.</w:t>
      </w:r>
      <w:r>
        <w:rPr>
          <w:color w:val="000000" w:themeColor="text1"/>
          <w:sz w:val="28"/>
          <w:szCs w:val="28"/>
        </w:rPr>
        <w:t xml:space="preserve">».</w:t>
      </w:r>
      <w:r>
        <w:rPr>
          <w:color w:val="000000" w:themeColor="text1"/>
        </w:rPr>
      </w:r>
      <w:r/>
    </w:p>
    <w:p>
      <w:pPr>
        <w:pStyle w:val="827"/>
        <w:numPr>
          <w:ilvl w:val="0"/>
          <w:numId w:val="1"/>
        </w:numPr>
        <w:contextualSpacing/>
        <w:ind w:left="0" w:firstLine="567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Дополнительное соглашение №1 к Отраслевому соглашению вступает в силу с 01.09.2024,  за исключением пункта 1, </w:t>
      </w:r>
      <w:r>
        <w:rPr>
          <w:color w:val="000000" w:themeColor="text1"/>
          <w:sz w:val="28"/>
          <w:szCs w:val="28"/>
        </w:rPr>
        <w:t xml:space="preserve">который</w:t>
      </w:r>
      <w:r>
        <w:rPr>
          <w:color w:val="000000" w:themeColor="text1"/>
          <w:sz w:val="28"/>
          <w:szCs w:val="28"/>
        </w:rPr>
        <w:t xml:space="preserve"> распространяет</w:t>
      </w:r>
      <w:r>
        <w:rPr>
          <w:color w:val="000000" w:themeColor="text1"/>
          <w:sz w:val="28"/>
          <w:szCs w:val="28"/>
        </w:rPr>
        <w:t xml:space="preserve">ся</w:t>
      </w:r>
      <w:r>
        <w:rPr>
          <w:color w:val="000000" w:themeColor="text1"/>
          <w:sz w:val="28"/>
          <w:szCs w:val="28"/>
        </w:rPr>
        <w:t xml:space="preserve"> на правоотношения, возникшие с 01.01.2023.</w:t>
      </w:r>
      <w:r>
        <w:rPr>
          <w:color w:val="000000" w:themeColor="text1"/>
        </w:rPr>
      </w:r>
      <w:r/>
    </w:p>
    <w:p>
      <w:pPr>
        <w:pStyle w:val="827"/>
        <w:numPr>
          <w:ilvl w:val="0"/>
          <w:numId w:val="1"/>
        </w:numPr>
        <w:contextualSpacing/>
        <w:ind w:left="0" w:firstLine="567"/>
        <w:jc w:val="both"/>
        <w:spacing w:before="0" w:after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Дополнительное соглашение №1 к Отраслевому соглашению подписано в двух экземплярах, каждый из которых имеет одинаковую юридическую силу.</w:t>
      </w:r>
      <w:r>
        <w:rPr>
          <w:color w:val="000000" w:themeColor="text1"/>
        </w:rPr>
      </w:r>
      <w:r/>
    </w:p>
    <w:p>
      <w:pPr>
        <w:pStyle w:val="827"/>
        <w:numPr>
          <w:ilvl w:val="0"/>
          <w:numId w:val="1"/>
        </w:numPr>
        <w:contextualSpacing/>
        <w:ind w:left="0" w:firstLine="567"/>
        <w:jc w:val="both"/>
        <w:spacing w:before="0" w:after="0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Администрация города опубликовывает текст дополнительного соглашения №1 </w:t>
      </w:r>
      <w:r>
        <w:rPr>
          <w:color w:val="000000" w:themeColor="text1"/>
          <w:sz w:val="28"/>
          <w:szCs w:val="28"/>
        </w:rPr>
        <w:t xml:space="preserve">к Отраслевому соглашению </w:t>
      </w:r>
      <w:r>
        <w:rPr>
          <w:color w:val="000000" w:themeColor="text1"/>
          <w:sz w:val="28"/>
          <w:szCs w:val="28"/>
        </w:rPr>
        <w:t xml:space="preserve">в городской газете «Варта».</w:t>
      </w:r>
      <w:r>
        <w:rPr>
          <w:color w:val="000000" w:themeColor="text1"/>
        </w:rPr>
      </w:r>
      <w:r/>
    </w:p>
    <w:p>
      <w:pPr>
        <w:pStyle w:val="82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827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numPr>
          <w:ilvl w:val="0"/>
          <w:numId w:val="0"/>
        </w:numPr>
        <w:ind w:left="360"/>
        <w:jc w:val="center"/>
        <w:keepNext/>
        <w:spacing w:line="360" w:lineRule="auto"/>
        <w:rPr>
          <w:b/>
          <w:caps/>
          <w:color w:val="000000" w:themeColor="text1"/>
          <w:sz w:val="28"/>
          <w:szCs w:val="28"/>
        </w:rPr>
        <w:outlineLvl w:val="0"/>
      </w:pPr>
      <w:r>
        <w:rPr>
          <w:b/>
          <w:caps/>
          <w:color w:val="000000" w:themeColor="text1"/>
          <w:sz w:val="28"/>
          <w:szCs w:val="28"/>
        </w:rPr>
        <w:t xml:space="preserve">ПОДПИСИ СТОРОН</w:t>
      </w:r>
      <w:r>
        <w:rPr>
          <w:color w:val="000000" w:themeColor="text1"/>
        </w:rPr>
      </w:r>
      <w:r/>
    </w:p>
    <w:p>
      <w:pPr>
        <w:pStyle w:val="766"/>
        <w:ind w:right="518"/>
        <w:jc w:val="both"/>
        <w:shd w:val="clear" w:color="auto" w:fill="ffffff"/>
        <w:tabs>
          <w:tab w:val="left" w:pos="0" w:leader="none"/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ind w:right="518"/>
        <w:jc w:val="both"/>
        <w:shd w:val="clear" w:color="auto" w:fill="ffffff"/>
        <w:tabs>
          <w:tab w:val="left" w:pos="0" w:leader="none"/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ind w:right="518"/>
        <w:jc w:val="both"/>
        <w:shd w:val="clear" w:color="auto" w:fill="ffffff"/>
        <w:tabs>
          <w:tab w:val="left" w:pos="0" w:leader="none"/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ind w:right="518"/>
        <w:jc w:val="both"/>
        <w:shd w:val="clear" w:color="auto" w:fill="ffffff"/>
        <w:tabs>
          <w:tab w:val="left" w:pos="0" w:leader="none"/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2"/>
          <w:sz w:val="28"/>
          <w:szCs w:val="28"/>
        </w:rPr>
      </w:pPr>
      <w:r>
        <w:rPr>
          <w:b/>
          <w:bCs/>
          <w:color w:val="000000" w:themeColor="text1"/>
          <w:spacing w:val="-2"/>
          <w:sz w:val="28"/>
          <w:szCs w:val="28"/>
        </w:rPr>
        <w:t xml:space="preserve">от Администрации города</w:t>
      </w:r>
      <w:r>
        <w:rPr>
          <w:color w:val="000000" w:themeColor="text1"/>
        </w:rPr>
      </w:r>
      <w:r/>
    </w:p>
    <w:p>
      <w:pPr>
        <w:pStyle w:val="766"/>
        <w:ind w:right="1"/>
        <w:jc w:val="both"/>
        <w:shd w:val="clear" w:color="auto" w:fill="ffffff"/>
        <w:tabs>
          <w:tab w:val="left" w:pos="0" w:leader="none"/>
          <w:tab w:val="clear" w:pos="708" w:leader="none"/>
          <w:tab w:val="left" w:pos="7230" w:leader="none"/>
        </w:tabs>
        <w:rPr>
          <w:color w:val="000000" w:themeColor="text1"/>
          <w:spacing w:val="-15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 xml:space="preserve">Глава города Нижневартовска</w:t>
        <w:tab/>
        <w:t xml:space="preserve">      Д.А. Кощенко</w:t>
      </w:r>
      <w:r>
        <w:rPr>
          <w:color w:val="000000" w:themeColor="text1"/>
        </w:rPr>
      </w:r>
      <w:r/>
    </w:p>
    <w:p>
      <w:pPr>
        <w:pStyle w:val="766"/>
        <w:jc w:val="both"/>
        <w:shd w:val="clear" w:color="auto" w:fill="ffffff"/>
        <w:tabs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5"/>
          <w:sz w:val="28"/>
          <w:szCs w:val="28"/>
        </w:rPr>
      </w:pPr>
      <w:r>
        <w:rPr>
          <w:b/>
          <w:bCs/>
          <w:color w:val="000000" w:themeColor="text1"/>
          <w:spacing w:val="-5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jc w:val="both"/>
        <w:shd w:val="clear" w:color="auto" w:fill="ffffff"/>
        <w:tabs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5"/>
          <w:sz w:val="28"/>
          <w:szCs w:val="28"/>
        </w:rPr>
      </w:pPr>
      <w:r>
        <w:rPr>
          <w:b/>
          <w:bCs/>
          <w:color w:val="000000" w:themeColor="text1"/>
          <w:spacing w:val="-5"/>
          <w:sz w:val="28"/>
          <w:szCs w:val="28"/>
        </w:rPr>
      </w:r>
      <w:r>
        <w:rPr>
          <w:color w:val="000000" w:themeColor="text1"/>
        </w:rPr>
      </w:r>
      <w:r/>
    </w:p>
    <w:p>
      <w:pPr>
        <w:pStyle w:val="766"/>
        <w:jc w:val="both"/>
        <w:shd w:val="clear" w:color="auto" w:fill="ffffff"/>
        <w:tabs>
          <w:tab w:val="clear" w:pos="708" w:leader="none"/>
          <w:tab w:val="left" w:pos="850" w:leader="none"/>
          <w:tab w:val="left" w:pos="992" w:leader="none"/>
          <w:tab w:val="left" w:pos="7230" w:leader="none"/>
        </w:tabs>
        <w:rPr>
          <w:b/>
          <w:bCs/>
          <w:color w:val="000000" w:themeColor="text1"/>
          <w:spacing w:val="-5"/>
          <w:sz w:val="16"/>
          <w:szCs w:val="16"/>
        </w:rPr>
      </w:pPr>
      <w:r>
        <w:rPr>
          <w:b/>
          <w:bCs/>
          <w:color w:val="000000" w:themeColor="text1"/>
          <w:spacing w:val="-5"/>
          <w:sz w:val="16"/>
          <w:szCs w:val="16"/>
        </w:rPr>
      </w:r>
      <w:r>
        <w:rPr>
          <w:color w:val="000000" w:themeColor="text1"/>
        </w:rPr>
      </w:r>
      <w:r/>
    </w:p>
    <w:p>
      <w:pPr>
        <w:pStyle w:val="766"/>
        <w:ind w:left="14"/>
        <w:jc w:val="both"/>
        <w:shd w:val="clear" w:color="auto" w:fill="ffffff"/>
        <w:tabs>
          <w:tab w:val="clear" w:pos="708" w:leader="none"/>
          <w:tab w:val="left" w:pos="7230" w:leader="none"/>
        </w:tabs>
        <w:rPr>
          <w:b/>
          <w:bCs/>
          <w:color w:val="000000" w:themeColor="text1"/>
          <w:spacing w:val="-5"/>
          <w:sz w:val="28"/>
          <w:szCs w:val="28"/>
        </w:rPr>
      </w:pPr>
      <w:r>
        <w:rPr>
          <w:b/>
          <w:bCs/>
          <w:color w:val="000000" w:themeColor="text1"/>
          <w:spacing w:val="-5"/>
          <w:sz w:val="28"/>
          <w:szCs w:val="28"/>
        </w:rPr>
        <w:t xml:space="preserve">от Профсоюза:</w:t>
        <w:tab/>
        <w:tab/>
        <w:tab/>
        <w:tab/>
      </w:r>
      <w:r>
        <w:rPr>
          <w:color w:val="000000" w:themeColor="text1"/>
        </w:rPr>
      </w:r>
      <w:r/>
    </w:p>
    <w:p>
      <w:pPr>
        <w:pStyle w:val="766"/>
        <w:jc w:val="both"/>
        <w:tabs>
          <w:tab w:val="clear" w:pos="708" w:leader="none"/>
          <w:tab w:val="left" w:pos="851" w:leader="none"/>
          <w:tab w:val="left" w:pos="723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Нижневартовской </w:t>
      </w:r>
      <w:r>
        <w:rPr>
          <w:color w:val="000000" w:themeColor="text1"/>
        </w:rPr>
      </w:r>
      <w:r/>
    </w:p>
    <w:p>
      <w:pPr>
        <w:pStyle w:val="766"/>
        <w:jc w:val="both"/>
        <w:tabs>
          <w:tab w:val="clear" w:pos="708" w:leader="none"/>
          <w:tab w:val="left" w:pos="851" w:leader="none"/>
          <w:tab w:val="left" w:pos="723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городской организации </w:t>
      </w:r>
      <w:r>
        <w:rPr>
          <w:color w:val="000000" w:themeColor="text1"/>
        </w:rPr>
      </w:r>
      <w:r/>
    </w:p>
    <w:p>
      <w:pPr>
        <w:pStyle w:val="766"/>
        <w:jc w:val="both"/>
        <w:tabs>
          <w:tab w:val="clear" w:pos="708" w:leader="none"/>
          <w:tab w:val="left" w:pos="851" w:leader="none"/>
          <w:tab w:val="left" w:pos="723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Профессионального союза работников </w:t>
      </w:r>
      <w:r>
        <w:rPr>
          <w:color w:val="000000" w:themeColor="text1"/>
        </w:rPr>
      </w:r>
      <w:r/>
    </w:p>
    <w:p>
      <w:pPr>
        <w:pStyle w:val="766"/>
        <w:jc w:val="both"/>
        <w:tabs>
          <w:tab w:val="clear" w:pos="708" w:leader="none"/>
          <w:tab w:val="left" w:pos="851" w:leader="none"/>
          <w:tab w:val="left" w:pos="723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Народного образования и науки </w:t>
      </w:r>
      <w:r>
        <w:rPr>
          <w:color w:val="000000" w:themeColor="text1"/>
        </w:rPr>
      </w:r>
      <w:r/>
    </w:p>
    <w:p>
      <w:pPr>
        <w:pStyle w:val="766"/>
        <w:jc w:val="both"/>
        <w:tabs>
          <w:tab w:val="clear" w:pos="708" w:leader="none"/>
          <w:tab w:val="left" w:pos="851" w:leader="none"/>
          <w:tab w:val="left" w:pos="7230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Российской Федерации                                                               Е.Г. Побединская</w:t>
      </w:r>
      <w:r>
        <w:rPr>
          <w:color w:val="000000" w:themeColor="text1"/>
        </w:rPr>
      </w:r>
      <w:r/>
    </w:p>
    <w:p>
      <w:pPr>
        <w:pStyle w:val="76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</w:rPr>
      </w:r>
      <w:bookmarkStart w:id="2" w:name="_GoBack"/>
      <w:r>
        <w:rPr>
          <w:color w:val="000000" w:themeColor="text1"/>
        </w:rPr>
      </w:r>
      <w:bookmarkEnd w:id="2"/>
      <w:r>
        <w:rPr>
          <w:color w:val="000000" w:themeColor="text1"/>
        </w:rPr>
      </w:r>
      <w:r/>
    </w:p>
    <w:sectPr>
      <w:footnotePr/>
      <w:endnotePr/>
      <w:type w:val="nextPage"/>
      <w:pgSz w:w="11906" w:h="16838" w:orient="portrait"/>
      <w:pgMar w:top="1134" w:right="850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alibri">
    <w:panose1 w:val="020F05020202040302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6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67">
    <w:name w:val="Heading 1"/>
    <w:basedOn w:val="7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8">
    <w:name w:val="Heading 2"/>
    <w:basedOn w:val="7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9">
    <w:name w:val="Heading 3"/>
    <w:basedOn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0">
    <w:name w:val="Heading 4"/>
    <w:basedOn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1">
    <w:name w:val="Heading 5"/>
    <w:basedOn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2">
    <w:name w:val="Heading 6"/>
    <w:basedOn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4">
    <w:name w:val="Heading 8"/>
    <w:basedOn w:val="7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1 Char"/>
    <w:basedOn w:val="799"/>
    <w:uiPriority w:val="9"/>
    <w:qFormat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799"/>
    <w:uiPriority w:val="9"/>
    <w:qFormat/>
    <w:rPr>
      <w:rFonts w:ascii="Arial" w:hAnsi="Arial" w:eastAsia="Arial" w:cs="Arial"/>
      <w:sz w:val="34"/>
    </w:rPr>
  </w:style>
  <w:style w:type="character" w:styleId="778">
    <w:name w:val="Heading 3 Char"/>
    <w:basedOn w:val="799"/>
    <w:uiPriority w:val="9"/>
    <w:qFormat/>
    <w:rPr>
      <w:rFonts w:ascii="Arial" w:hAnsi="Arial" w:eastAsia="Arial" w:cs="Arial"/>
      <w:sz w:val="30"/>
      <w:szCs w:val="30"/>
    </w:rPr>
  </w:style>
  <w:style w:type="character" w:styleId="779">
    <w:name w:val="Heading 4 Char"/>
    <w:basedOn w:val="79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80">
    <w:name w:val="Heading 5 Char"/>
    <w:basedOn w:val="79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81">
    <w:name w:val="Heading 6 Char"/>
    <w:basedOn w:val="79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82">
    <w:name w:val="Heading 7 Char"/>
    <w:basedOn w:val="799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8 Char"/>
    <w:basedOn w:val="79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84">
    <w:name w:val="Heading 9 Char"/>
    <w:basedOn w:val="79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5">
    <w:name w:val="Title Char"/>
    <w:basedOn w:val="799"/>
    <w:uiPriority w:val="10"/>
    <w:qFormat/>
    <w:rPr>
      <w:sz w:val="48"/>
      <w:szCs w:val="48"/>
    </w:rPr>
  </w:style>
  <w:style w:type="character" w:styleId="786">
    <w:name w:val="Subtitle Char"/>
    <w:basedOn w:val="799"/>
    <w:uiPriority w:val="11"/>
    <w:qFormat/>
    <w:rPr>
      <w:sz w:val="24"/>
      <w:szCs w:val="24"/>
    </w:rPr>
  </w:style>
  <w:style w:type="character" w:styleId="787">
    <w:name w:val="Quote Char"/>
    <w:uiPriority w:val="29"/>
    <w:qFormat/>
    <w:rPr>
      <w:i/>
    </w:rPr>
  </w:style>
  <w:style w:type="character" w:styleId="788">
    <w:name w:val="Intense Quote Char"/>
    <w:uiPriority w:val="30"/>
    <w:qFormat/>
    <w:rPr>
      <w:i/>
    </w:rPr>
  </w:style>
  <w:style w:type="character" w:styleId="789">
    <w:name w:val="Header Char"/>
    <w:basedOn w:val="799"/>
    <w:uiPriority w:val="99"/>
    <w:qFormat/>
  </w:style>
  <w:style w:type="character" w:styleId="790">
    <w:name w:val="Footer Char"/>
    <w:basedOn w:val="799"/>
    <w:uiPriority w:val="99"/>
    <w:qFormat/>
  </w:style>
  <w:style w:type="character" w:styleId="791">
    <w:name w:val="Caption Char"/>
    <w:uiPriority w:val="99"/>
    <w:qFormat/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character" w:styleId="793">
    <w:name w:val="Footnote Text Char"/>
    <w:uiPriority w:val="99"/>
    <w:qFormat/>
    <w:rPr>
      <w:sz w:val="18"/>
    </w:rPr>
  </w:style>
  <w:style w:type="character" w:styleId="794">
    <w:name w:val="Символ сноски"/>
    <w:uiPriority w:val="99"/>
    <w:unhideWhenUsed/>
    <w:qFormat/>
    <w:rPr>
      <w:vertAlign w:val="superscript"/>
    </w:rPr>
  </w:style>
  <w:style w:type="character" w:styleId="795">
    <w:name w:val="footnote reference"/>
    <w:rPr>
      <w:vertAlign w:val="superscript"/>
    </w:rPr>
  </w:style>
  <w:style w:type="character" w:styleId="796">
    <w:name w:val="Endnote Text Char"/>
    <w:uiPriority w:val="99"/>
    <w:qFormat/>
    <w:rPr>
      <w:sz w:val="20"/>
    </w:rPr>
  </w:style>
  <w:style w:type="character" w:styleId="79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98">
    <w:name w:val="endnote reference"/>
    <w:rPr>
      <w:vertAlign w:val="superscript"/>
    </w:rPr>
  </w:style>
  <w:style w:type="character" w:styleId="799" w:default="1">
    <w:name w:val="Default Paragraph Font"/>
    <w:uiPriority w:val="1"/>
    <w:semiHidden/>
    <w:unhideWhenUsed/>
    <w:qFormat/>
  </w:style>
  <w:style w:type="paragraph" w:styleId="800">
    <w:name w:val="Заголовок"/>
    <w:basedOn w:val="766"/>
    <w:next w:val="801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01">
    <w:name w:val="Body Text"/>
    <w:basedOn w:val="766"/>
    <w:pPr>
      <w:spacing w:before="0" w:after="140" w:line="276" w:lineRule="auto"/>
    </w:pPr>
  </w:style>
  <w:style w:type="paragraph" w:styleId="802">
    <w:name w:val="List"/>
    <w:basedOn w:val="801"/>
    <w:rPr>
      <w:rFonts w:cs="Droid Sans Devanagari"/>
    </w:rPr>
  </w:style>
  <w:style w:type="paragraph" w:styleId="803">
    <w:name w:val="Caption"/>
    <w:basedOn w:val="7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04">
    <w:name w:val="Указатель"/>
    <w:basedOn w:val="766"/>
    <w:qFormat/>
    <w:pPr>
      <w:suppressLineNumbers/>
    </w:pPr>
    <w:rPr>
      <w:rFonts w:cs="Droid Sans Devanagari"/>
    </w:rPr>
  </w:style>
  <w:style w:type="paragraph" w:styleId="80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06">
    <w:name w:val="Title"/>
    <w:basedOn w:val="76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07">
    <w:name w:val="Subtitle"/>
    <w:basedOn w:val="766"/>
    <w:uiPriority w:val="11"/>
    <w:qFormat/>
    <w:pPr>
      <w:spacing w:before="200" w:after="200"/>
    </w:pPr>
    <w:rPr>
      <w:sz w:val="24"/>
      <w:szCs w:val="24"/>
    </w:rPr>
  </w:style>
  <w:style w:type="paragraph" w:styleId="808">
    <w:name w:val="Quote"/>
    <w:basedOn w:val="766"/>
    <w:uiPriority w:val="29"/>
    <w:qFormat/>
    <w:pPr>
      <w:ind w:left="720" w:right="720"/>
    </w:pPr>
    <w:rPr>
      <w:i/>
    </w:rPr>
  </w:style>
  <w:style w:type="paragraph" w:styleId="809">
    <w:name w:val="Intense Quote"/>
    <w:basedOn w:val="766"/>
    <w:uiPriority w:val="30"/>
    <w:qFormat/>
    <w:pPr>
      <w:ind w:left="720" w:right="72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10">
    <w:name w:val="Колонтитул"/>
    <w:basedOn w:val="766"/>
    <w:qFormat/>
  </w:style>
  <w:style w:type="paragraph" w:styleId="811">
    <w:name w:val="Header"/>
    <w:basedOn w:val="76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12">
    <w:name w:val="Footer"/>
    <w:basedOn w:val="766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13">
    <w:name w:val="footnote text"/>
    <w:basedOn w:val="76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14">
    <w:name w:val="endnote text"/>
    <w:basedOn w:val="766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15">
    <w:name w:val="toc 1"/>
    <w:basedOn w:val="766"/>
    <w:uiPriority w:val="39"/>
    <w:unhideWhenUsed/>
    <w:pPr>
      <w:ind w:left="0" w:right="0" w:firstLine="0"/>
      <w:spacing w:before="0" w:after="57"/>
    </w:pPr>
  </w:style>
  <w:style w:type="paragraph" w:styleId="816">
    <w:name w:val="toc 2"/>
    <w:basedOn w:val="766"/>
    <w:uiPriority w:val="39"/>
    <w:unhideWhenUsed/>
    <w:pPr>
      <w:ind w:left="283" w:right="0" w:firstLine="0"/>
      <w:spacing w:before="0" w:after="57"/>
    </w:pPr>
  </w:style>
  <w:style w:type="paragraph" w:styleId="817">
    <w:name w:val="toc 3"/>
    <w:basedOn w:val="766"/>
    <w:uiPriority w:val="39"/>
    <w:unhideWhenUsed/>
    <w:pPr>
      <w:ind w:left="567" w:right="0" w:firstLine="0"/>
      <w:spacing w:before="0" w:after="57"/>
    </w:pPr>
  </w:style>
  <w:style w:type="paragraph" w:styleId="818">
    <w:name w:val="toc 4"/>
    <w:basedOn w:val="766"/>
    <w:uiPriority w:val="39"/>
    <w:unhideWhenUsed/>
    <w:pPr>
      <w:ind w:left="850" w:right="0" w:firstLine="0"/>
      <w:spacing w:before="0" w:after="57"/>
    </w:pPr>
  </w:style>
  <w:style w:type="paragraph" w:styleId="819">
    <w:name w:val="toc 5"/>
    <w:basedOn w:val="766"/>
    <w:uiPriority w:val="39"/>
    <w:unhideWhenUsed/>
    <w:pPr>
      <w:ind w:left="1134" w:right="0" w:firstLine="0"/>
      <w:spacing w:before="0" w:after="57"/>
    </w:pPr>
  </w:style>
  <w:style w:type="paragraph" w:styleId="820">
    <w:name w:val="toc 6"/>
    <w:basedOn w:val="766"/>
    <w:uiPriority w:val="39"/>
    <w:unhideWhenUsed/>
    <w:pPr>
      <w:ind w:left="1417" w:right="0" w:firstLine="0"/>
      <w:spacing w:before="0" w:after="57"/>
    </w:pPr>
  </w:style>
  <w:style w:type="paragraph" w:styleId="821">
    <w:name w:val="toc 7"/>
    <w:basedOn w:val="766"/>
    <w:uiPriority w:val="39"/>
    <w:unhideWhenUsed/>
    <w:pPr>
      <w:ind w:left="1701" w:right="0" w:firstLine="0"/>
      <w:spacing w:before="0" w:after="57"/>
    </w:pPr>
  </w:style>
  <w:style w:type="paragraph" w:styleId="822">
    <w:name w:val="toc 8"/>
    <w:basedOn w:val="766"/>
    <w:uiPriority w:val="39"/>
    <w:unhideWhenUsed/>
    <w:pPr>
      <w:ind w:left="1984" w:right="0" w:firstLine="0"/>
      <w:spacing w:before="0" w:after="57"/>
    </w:pPr>
  </w:style>
  <w:style w:type="paragraph" w:styleId="823">
    <w:name w:val="toc 9"/>
    <w:basedOn w:val="766"/>
    <w:uiPriority w:val="39"/>
    <w:unhideWhenUsed/>
    <w:pPr>
      <w:ind w:left="2268" w:right="0" w:firstLine="0"/>
      <w:spacing w:before="0" w:after="57"/>
    </w:pPr>
  </w:style>
  <w:style w:type="paragraph" w:styleId="824">
    <w:name w:val="Index Heading"/>
    <w:basedOn w:val="800"/>
  </w:style>
  <w:style w:type="paragraph" w:styleId="82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6">
    <w:name w:val="table of figures"/>
    <w:basedOn w:val="766"/>
    <w:uiPriority w:val="99"/>
    <w:unhideWhenUsed/>
    <w:pPr>
      <w:spacing w:before="0" w:after="0" w:afterAutospacing="0"/>
    </w:pPr>
  </w:style>
  <w:style w:type="paragraph" w:styleId="827">
    <w:name w:val="List Paragraph"/>
    <w:basedOn w:val="766"/>
    <w:uiPriority w:val="34"/>
    <w:qFormat/>
    <w:pPr>
      <w:contextualSpacing/>
      <w:ind w:left="720"/>
      <w:spacing w:before="0" w:after="0"/>
    </w:pPr>
  </w:style>
  <w:style w:type="paragraph" w:styleId="828" w:customStyle="1">
    <w:name w:val="       ConsPlusNormal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u w:val="none"/>
      <w:vertAlign w:val="baseline"/>
      <w:lang w:val="en-US" w:eastAsia="zh-CN" w:bidi="ar-SA"/>
      <w14:ligatures w14:val="none"/>
    </w:rPr>
  </w:style>
  <w:style w:type="numbering" w:styleId="829" w:default="1">
    <w:name w:val="No List"/>
    <w:uiPriority w:val="99"/>
    <w:semiHidden/>
    <w:unhideWhenUsed/>
    <w:qFormat/>
  </w:style>
  <w:style w:type="table" w:styleId="8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Верин Сергей Александрович</dc:creator>
  <dc:description/>
  <dc:language>ru-RU</dc:language>
  <cp:revision>7</cp:revision>
  <dcterms:created xsi:type="dcterms:W3CDTF">2023-01-19T11:23:00Z</dcterms:created>
  <dcterms:modified xsi:type="dcterms:W3CDTF">2024-09-04T07:18:19Z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