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BB3668" w:rsidRDefault="00287E6A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3668">
        <w:rPr>
          <w:rFonts w:ascii="Times New Roman" w:hAnsi="Times New Roman"/>
          <w:b/>
          <w:sz w:val="28"/>
          <w:szCs w:val="28"/>
        </w:rPr>
        <w:t>С</w:t>
      </w:r>
      <w:r w:rsidR="0005694B" w:rsidRPr="00BB3668">
        <w:rPr>
          <w:rFonts w:ascii="Times New Roman" w:hAnsi="Times New Roman"/>
          <w:b/>
          <w:sz w:val="28"/>
          <w:szCs w:val="28"/>
        </w:rPr>
        <w:t>водн</w:t>
      </w:r>
      <w:r w:rsidRPr="00BB3668">
        <w:rPr>
          <w:rFonts w:ascii="Times New Roman" w:hAnsi="Times New Roman"/>
          <w:b/>
          <w:sz w:val="28"/>
          <w:szCs w:val="28"/>
        </w:rPr>
        <w:t>ый</w:t>
      </w:r>
      <w:r w:rsidR="0005694B" w:rsidRPr="00BB3668">
        <w:rPr>
          <w:rFonts w:ascii="Times New Roman" w:hAnsi="Times New Roman"/>
          <w:b/>
          <w:sz w:val="28"/>
          <w:szCs w:val="28"/>
        </w:rPr>
        <w:t xml:space="preserve"> отчет об оценке регулирующего воздействия проекта </w:t>
      </w:r>
    </w:p>
    <w:p w:rsidR="0005694B" w:rsidRPr="00BB3668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05694B" w:rsidRPr="00BB3668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05694B" w:rsidRPr="00BB3668" w:rsidTr="00F70A79">
        <w:trPr>
          <w:trHeight w:val="1409"/>
        </w:trPr>
        <w:tc>
          <w:tcPr>
            <w:tcW w:w="3984" w:type="dxa"/>
            <w:shd w:val="clear" w:color="auto" w:fill="auto"/>
          </w:tcPr>
          <w:p w:rsidR="0005694B" w:rsidRPr="00BB3668" w:rsidRDefault="002A17D8" w:rsidP="00F70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668">
              <w:rPr>
                <w:rFonts w:ascii="Times New Roman" w:hAnsi="Times New Roman"/>
              </w:rPr>
              <w:t>№</w:t>
            </w:r>
            <w:r w:rsidR="0018371A" w:rsidRPr="00BB3668">
              <w:rPr>
                <w:rFonts w:ascii="Times New Roman" w:hAnsi="Times New Roman"/>
              </w:rPr>
              <w:t>1</w:t>
            </w:r>
          </w:p>
          <w:p w:rsidR="0005694B" w:rsidRPr="00BB3668" w:rsidRDefault="0005694B" w:rsidP="00F70A7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668">
              <w:rPr>
                <w:rFonts w:ascii="Times New Roman" w:hAnsi="Times New Roman"/>
                <w:i/>
                <w:sz w:val="20"/>
                <w:szCs w:val="20"/>
              </w:rPr>
              <w:t>(присваивается регулирующим</w:t>
            </w:r>
          </w:p>
          <w:p w:rsidR="0005694B" w:rsidRPr="00BB3668" w:rsidRDefault="0005694B" w:rsidP="00F70A79">
            <w:pPr>
              <w:jc w:val="center"/>
              <w:rPr>
                <w:rFonts w:ascii="Times New Roman" w:hAnsi="Times New Roman"/>
              </w:rPr>
            </w:pPr>
            <w:r w:rsidRPr="00BB3668">
              <w:rPr>
                <w:rFonts w:ascii="Times New Roman" w:hAnsi="Times New Roman"/>
                <w:i/>
                <w:sz w:val="20"/>
                <w:szCs w:val="20"/>
              </w:rPr>
              <w:t>органом)</w:t>
            </w:r>
          </w:p>
        </w:tc>
        <w:tc>
          <w:tcPr>
            <w:tcW w:w="5905" w:type="dxa"/>
            <w:shd w:val="clear" w:color="auto" w:fill="auto"/>
          </w:tcPr>
          <w:p w:rsidR="0005694B" w:rsidRPr="00BB3668" w:rsidRDefault="0005694B" w:rsidP="00C161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="002C0DB5" w:rsidRPr="00BB3668">
              <w:rPr>
                <w:rFonts w:ascii="Times New Roman" w:hAnsi="Times New Roman"/>
                <w:sz w:val="24"/>
                <w:szCs w:val="24"/>
              </w:rPr>
              <w:br/>
            </w:r>
            <w:r w:rsidRPr="00BB3668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5694B" w:rsidRPr="00BB3668" w:rsidRDefault="0005694B" w:rsidP="00F70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2006D2" w:rsidRPr="00BB3668">
              <w:rPr>
                <w:rFonts w:ascii="Times New Roman" w:hAnsi="Times New Roman"/>
                <w:sz w:val="24"/>
                <w:szCs w:val="24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</w:rPr>
              <w:t>0</w:t>
            </w:r>
            <w:r w:rsidR="00AF3C68">
              <w:rPr>
                <w:rFonts w:ascii="Times New Roman" w:hAnsi="Times New Roman"/>
                <w:sz w:val="24"/>
                <w:szCs w:val="24"/>
              </w:rPr>
              <w:t>8</w:t>
            </w:r>
            <w:r w:rsidR="002006D2" w:rsidRPr="00BB3668">
              <w:rPr>
                <w:rFonts w:ascii="Times New Roman" w:hAnsi="Times New Roman"/>
                <w:sz w:val="24"/>
                <w:szCs w:val="24"/>
              </w:rPr>
              <w:t>"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1A3" w:rsidRPr="00BB366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87E6A" w:rsidRPr="00BB3668">
              <w:rPr>
                <w:rFonts w:ascii="Times New Roman" w:hAnsi="Times New Roman"/>
                <w:sz w:val="24"/>
                <w:szCs w:val="24"/>
              </w:rPr>
              <w:t>1</w:t>
            </w:r>
            <w:r w:rsidR="00AF3C68">
              <w:rPr>
                <w:rFonts w:ascii="Times New Roman" w:hAnsi="Times New Roman"/>
                <w:sz w:val="24"/>
                <w:szCs w:val="24"/>
              </w:rPr>
              <w:t>9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05694B" w:rsidRPr="00BB3668" w:rsidRDefault="0005694B" w:rsidP="00AF3C68">
            <w:pPr>
              <w:spacing w:line="240" w:lineRule="auto"/>
              <w:rPr>
                <w:rFonts w:ascii="Times New Roman" w:hAnsi="Times New Roman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2006D2" w:rsidRPr="00BB3668">
              <w:rPr>
                <w:rFonts w:ascii="Times New Roman" w:hAnsi="Times New Roman"/>
                <w:sz w:val="24"/>
                <w:szCs w:val="24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</w:rPr>
              <w:t>2</w:t>
            </w:r>
            <w:r w:rsidR="00AF3C68">
              <w:rPr>
                <w:rFonts w:ascii="Times New Roman" w:hAnsi="Times New Roman"/>
                <w:sz w:val="24"/>
                <w:szCs w:val="24"/>
              </w:rPr>
              <w:t>2</w:t>
            </w:r>
            <w:r w:rsidR="002006D2" w:rsidRPr="00BB3668">
              <w:rPr>
                <w:rFonts w:ascii="Times New Roman" w:hAnsi="Times New Roman"/>
                <w:sz w:val="24"/>
                <w:szCs w:val="24"/>
              </w:rPr>
              <w:t>"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1A3" w:rsidRPr="00BB366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D11A3" w:rsidRPr="00BB3668">
              <w:rPr>
                <w:rFonts w:ascii="Times New Roman" w:hAnsi="Times New Roman"/>
                <w:sz w:val="24"/>
                <w:szCs w:val="24"/>
              </w:rPr>
              <w:t>1</w:t>
            </w:r>
            <w:r w:rsidR="00AF3C68">
              <w:rPr>
                <w:rFonts w:ascii="Times New Roman" w:hAnsi="Times New Roman"/>
                <w:sz w:val="24"/>
                <w:szCs w:val="24"/>
              </w:rPr>
              <w:t>9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C6A29" w:rsidRPr="00BB3668" w:rsidRDefault="004C6A29" w:rsidP="000569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5694B" w:rsidRPr="00BB3668" w:rsidRDefault="008A69C0" w:rsidP="008A69C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B3668">
        <w:rPr>
          <w:rFonts w:ascii="Times New Roman" w:hAnsi="Times New Roman"/>
          <w:b/>
          <w:sz w:val="28"/>
          <w:szCs w:val="28"/>
        </w:rPr>
        <w:t xml:space="preserve">. </w:t>
      </w:r>
      <w:r w:rsidR="0005694B" w:rsidRPr="00BB3668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246129" w:rsidRPr="00BB3668" w:rsidRDefault="00246129" w:rsidP="0024612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B3668" w:rsidRPr="00BB3668" w:rsidTr="00287E6A">
        <w:trPr>
          <w:cantSplit/>
        </w:trPr>
        <w:tc>
          <w:tcPr>
            <w:tcW w:w="9923" w:type="dxa"/>
            <w:shd w:val="clear" w:color="auto" w:fill="auto"/>
          </w:tcPr>
          <w:p w:rsidR="0005694B" w:rsidRPr="00BB3668" w:rsidRDefault="0005694B" w:rsidP="00F70A7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287E6A"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 (департамент образования Нижневартовска)</w:t>
            </w:r>
            <w:r w:rsidR="00287E6A"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__________________________________________________________,</w:t>
            </w:r>
          </w:p>
          <w:p w:rsidR="0005694B" w:rsidRPr="00BB3668" w:rsidRDefault="0005694B" w:rsidP="00F70A7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B3668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подразделения администрации города)</w:t>
            </w:r>
          </w:p>
          <w:p w:rsidR="0005694B" w:rsidRPr="00BB3668" w:rsidRDefault="0005694B" w:rsidP="0039301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являющийся (являющееся)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</w:tc>
      </w:tr>
      <w:tr w:rsidR="00BB3668" w:rsidRPr="00BB3668" w:rsidTr="00F70A79">
        <w:tc>
          <w:tcPr>
            <w:tcW w:w="9923" w:type="dxa"/>
            <w:shd w:val="clear" w:color="auto" w:fill="auto"/>
          </w:tcPr>
          <w:p w:rsidR="0005694B" w:rsidRPr="00BB3668" w:rsidRDefault="0005694B" w:rsidP="00033B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393018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018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Отсутствуют.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Pr="00BB3668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BB3668" w:rsidRPr="00BB3668" w:rsidTr="00520515">
        <w:trPr>
          <w:trHeight w:val="1052"/>
        </w:trPr>
        <w:tc>
          <w:tcPr>
            <w:tcW w:w="9923" w:type="dxa"/>
            <w:shd w:val="clear" w:color="auto" w:fill="auto"/>
          </w:tcPr>
          <w:p w:rsidR="00246129" w:rsidRPr="00BB3668" w:rsidRDefault="00246129" w:rsidP="00246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05694B" w:rsidRPr="00BB3668">
              <w:rPr>
                <w:rFonts w:ascii="Times New Roman" w:hAnsi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E2FC2" w:rsidRPr="00BB3668" w:rsidRDefault="00196A2D" w:rsidP="00033B4E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393018" w:rsidRPr="00BB3668">
              <w:rPr>
                <w:rFonts w:ascii="Times New Roman" w:hAnsi="Times New Roman"/>
                <w:sz w:val="24"/>
                <w:szCs w:val="24"/>
                <w:u w:val="single"/>
              </w:rPr>
              <w:t>роект постановления администрации города "</w:t>
            </w:r>
            <w:r w:rsidR="00AF3C68">
              <w:t xml:space="preserve"> 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принимателями, а также 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>социально ориентированными некоммерческими организациями</w:t>
            </w:r>
            <w:r w:rsidR="00393018" w:rsidRPr="00BB3668">
              <w:rPr>
                <w:rFonts w:ascii="Times New Roman" w:hAnsi="Times New Roman"/>
                <w:u w:val="single"/>
              </w:rPr>
              <w:t>"</w:t>
            </w:r>
            <w:r w:rsidRPr="00BB3668">
              <w:rPr>
                <w:rFonts w:ascii="Times New Roman" w:hAnsi="Times New Roman"/>
                <w:u w:val="single"/>
              </w:rPr>
              <w:t>.</w:t>
            </w:r>
          </w:p>
        </w:tc>
      </w:tr>
      <w:tr w:rsidR="00BB3668" w:rsidRPr="00BB3668" w:rsidTr="00F14DFB">
        <w:trPr>
          <w:trHeight w:val="702"/>
        </w:trPr>
        <w:tc>
          <w:tcPr>
            <w:tcW w:w="9923" w:type="dxa"/>
            <w:shd w:val="clear" w:color="auto" w:fill="auto"/>
          </w:tcPr>
          <w:p w:rsidR="00520515" w:rsidRPr="00BB3668" w:rsidRDefault="00520515" w:rsidP="00AF3C6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1.4. Предполагаемая дата вступления в силу 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 (его отдельных положений):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01 февраля 20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196A2D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18371A">
        <w:trPr>
          <w:trHeight w:val="1390"/>
        </w:trPr>
        <w:tc>
          <w:tcPr>
            <w:tcW w:w="9923" w:type="dxa"/>
            <w:shd w:val="clear" w:color="auto" w:fill="auto"/>
          </w:tcPr>
          <w:p w:rsidR="00520515" w:rsidRPr="00BB3668" w:rsidRDefault="00520515" w:rsidP="00033B4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1.5. Краткое описание проблемы, на решение которой направлено предлагаемое правовое регулирование:</w:t>
            </w:r>
            <w:r w:rsidR="00033B4E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7D6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18371A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тсутствие механизма регулирования правоотношений участников системы персонифицированного финансирования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летнего отдыха</w:t>
            </w:r>
            <w:r w:rsidR="0018371A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033B4E">
        <w:trPr>
          <w:trHeight w:val="2399"/>
        </w:trPr>
        <w:tc>
          <w:tcPr>
            <w:tcW w:w="9923" w:type="dxa"/>
            <w:shd w:val="clear" w:color="auto" w:fill="auto"/>
          </w:tcPr>
          <w:p w:rsidR="00073212" w:rsidRPr="00BB3668" w:rsidRDefault="0005694B" w:rsidP="000732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1.6. Основание для разработки проекта муниципального нормативного правового акта:</w:t>
            </w:r>
          </w:p>
          <w:p w:rsidR="008D11A3" w:rsidRPr="00BB3668" w:rsidRDefault="00A56D8D" w:rsidP="0007321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14DFB" w:rsidRPr="00BB3668" w:rsidRDefault="008D11A3" w:rsidP="008D1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- Федеральный закон от 24.07.1998 №124-ФЗ «Об основных гарантиях прав ребенка в РФ», распоряжением Правительства Ханты-Мансийского автономного округа – Югры от 10.11.2017 №659-рп «О перечне приоритетных расходных обязательств муниципальных образований Ханты-Мансийского автономного округа – Югры, софинансируемых за счет средств бюджета Ханты-Мансийского автономного округа – Югры в 2018 году и плановом периоде 2019-2020 годов»;</w:t>
            </w:r>
          </w:p>
          <w:p w:rsidR="008D11A3" w:rsidRPr="00BB3668" w:rsidRDefault="008D11A3" w:rsidP="008D1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- Распоряжение Правительства Ханты-Мансийского автономного округа – Югры от 10.11.2017 №659-рп «О перечне приоритетных расходных обязательств муниципальных образований Ханты-Мансийского автономного округа – Югры, софинансируемых за счет средств бюджета Ханты-Мансийского автономного округа – Югры в 2018 году и плановом периоде 2019-2020 годов» (пункт 2.3);</w:t>
            </w:r>
          </w:p>
          <w:p w:rsidR="008D11A3" w:rsidRPr="00BB3668" w:rsidRDefault="008D11A3" w:rsidP="008D1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- Протокол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19.02.2018 №209 (пункт 2.8.2);</w:t>
            </w:r>
          </w:p>
          <w:p w:rsidR="008D11A3" w:rsidRPr="00BB3668" w:rsidRDefault="008D11A3" w:rsidP="008D11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- Протокол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08.06.2018 №216 (пункты 2.3, 2.4).</w:t>
            </w:r>
          </w:p>
        </w:tc>
      </w:tr>
      <w:tr w:rsidR="00BB3668" w:rsidRPr="00BB3668" w:rsidTr="008E44B5">
        <w:trPr>
          <w:trHeight w:val="842"/>
        </w:trPr>
        <w:tc>
          <w:tcPr>
            <w:tcW w:w="9923" w:type="dxa"/>
            <w:shd w:val="clear" w:color="auto" w:fill="auto"/>
          </w:tcPr>
          <w:p w:rsidR="008E44B5" w:rsidRPr="00BB3668" w:rsidRDefault="00520515" w:rsidP="00381E0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1.7. Краткое описание целей предлагаемого правового регулирования:</w:t>
            </w:r>
            <w:r w:rsidR="007570B2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4E5" w:rsidRPr="00BB3668" w:rsidRDefault="00CC4262" w:rsidP="00381E0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овышени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доступности и качества предоставляемых услуг в сфере организации отдыха и оздоровления детей</w:t>
            </w:r>
            <w:r w:rsidR="00615CB7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20515" w:rsidRPr="00BB3668" w:rsidRDefault="008E44B5" w:rsidP="00381E0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B3668" w:rsidRPr="00BB3668" w:rsidTr="00520515">
        <w:trPr>
          <w:trHeight w:val="1364"/>
        </w:trPr>
        <w:tc>
          <w:tcPr>
            <w:tcW w:w="9923" w:type="dxa"/>
            <w:shd w:val="clear" w:color="auto" w:fill="auto"/>
          </w:tcPr>
          <w:p w:rsidR="009B3A07" w:rsidRPr="00BB3668" w:rsidRDefault="0005694B" w:rsidP="0038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1.8. Краткое описание содержания предлагаемого правового регулирования:</w:t>
            </w:r>
            <w:r w:rsidR="007570B2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BB3668" w:rsidRDefault="00196A2D" w:rsidP="00381E05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9B3A07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роблема решается путем утверждения Порядка 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>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>социально ориентированными некоммерческими организациями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B3A07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39C" w:rsidRPr="00BB3668" w:rsidRDefault="00CB039C" w:rsidP="00381E05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68" w:rsidRPr="00BB3668" w:rsidTr="00A32075">
        <w:trPr>
          <w:trHeight w:val="967"/>
        </w:trPr>
        <w:tc>
          <w:tcPr>
            <w:tcW w:w="9923" w:type="dxa"/>
            <w:shd w:val="clear" w:color="auto" w:fill="auto"/>
          </w:tcPr>
          <w:p w:rsidR="00520515" w:rsidRPr="00BB3668" w:rsidRDefault="00520515" w:rsidP="00F33D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</w:t>
            </w:r>
            <w:r w:rsidR="002006D2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F33DE7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C1615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006D2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7758B2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ноября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 w:rsidR="007758B2" w:rsidRPr="00BB366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C1615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CB039C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ода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окончание: </w:t>
            </w:r>
            <w:r w:rsidR="002006D2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2006D2" w:rsidRPr="00BB3668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C1615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ноября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</w:t>
            </w:r>
            <w:r w:rsidR="007758B2" w:rsidRPr="00BB366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C1615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CB039C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ода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520515">
        <w:trPr>
          <w:trHeight w:val="1182"/>
        </w:trPr>
        <w:tc>
          <w:tcPr>
            <w:tcW w:w="9923" w:type="dxa"/>
            <w:shd w:val="clear" w:color="auto" w:fill="auto"/>
          </w:tcPr>
          <w:p w:rsidR="00520515" w:rsidRPr="00BB3668" w:rsidRDefault="008A69C0" w:rsidP="00381E0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>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</w:t>
            </w:r>
            <w:r w:rsidR="00196A2D" w:rsidRPr="00BB36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42151" w:rsidRPr="00BB3668" w:rsidRDefault="00A42151" w:rsidP="00302F4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B3668" w:rsidRPr="00BB3668" w:rsidTr="00520515">
        <w:trPr>
          <w:trHeight w:val="2094"/>
        </w:trPr>
        <w:tc>
          <w:tcPr>
            <w:tcW w:w="9923" w:type="dxa"/>
            <w:shd w:val="clear" w:color="auto" w:fill="auto"/>
          </w:tcPr>
          <w:p w:rsidR="00520515" w:rsidRPr="00BB3668" w:rsidRDefault="00520515" w:rsidP="0038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1.11. Контактная информация ответственного исполнителя регулирующего органа:</w:t>
            </w:r>
          </w:p>
          <w:p w:rsidR="00520515" w:rsidRPr="00BB3668" w:rsidRDefault="00B7228D" w:rsidP="0038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ф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Симанова Марина Николаевна</w:t>
            </w:r>
            <w:r w:rsidR="00196A2D" w:rsidRPr="00BB3668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D158BE" w:rsidRPr="00BB3668" w:rsidRDefault="00B7228D" w:rsidP="0038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д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 xml:space="preserve">олжность: 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начальник</w:t>
            </w:r>
            <w:r w:rsidR="00E53240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отдела дополнительного образования и воспитательной работы департамента образования администрации города</w:t>
            </w:r>
            <w:r w:rsidR="008D11A3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Нижневартовска</w:t>
            </w:r>
            <w:r w:rsidR="00196A2D" w:rsidRPr="00BB3668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20515" w:rsidRPr="00BB3668" w:rsidRDefault="00B7228D" w:rsidP="00381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т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 xml:space="preserve">елефон: 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(3466) </w:t>
            </w:r>
            <w:r w:rsidR="00155599" w:rsidRPr="00BB3668">
              <w:rPr>
                <w:rFonts w:ascii="Times New Roman" w:hAnsi="Times New Roman"/>
                <w:sz w:val="24"/>
                <w:szCs w:val="24"/>
                <w:u w:val="single"/>
              </w:rPr>
              <w:t>65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155599" w:rsidRPr="00BB3668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155599" w:rsidRPr="00BB3668">
              <w:rPr>
                <w:rFonts w:ascii="Times New Roman" w:hAnsi="Times New Roman"/>
                <w:sz w:val="24"/>
                <w:szCs w:val="24"/>
                <w:u w:val="single"/>
              </w:rPr>
              <w:t>49</w:t>
            </w:r>
            <w:r w:rsidR="00196A2D" w:rsidRPr="00BB3668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520515" w:rsidRPr="00BB3668" w:rsidRDefault="00B7228D" w:rsidP="00381E05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520515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="00E53240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odo</w:t>
            </w:r>
            <w:r w:rsidR="00D158BE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@</w:t>
            </w:r>
            <w:r w:rsidR="00D158BE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n</w:t>
            </w:r>
            <w:r w:rsidR="00D158BE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-</w:t>
            </w:r>
            <w:r w:rsidR="00D158BE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vartovsk</w:t>
            </w:r>
            <w:r w:rsidR="00D158BE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.</w:t>
            </w:r>
            <w:r w:rsidR="00D158BE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  <w:lang w:val="en-US"/>
              </w:rPr>
              <w:t>ru</w:t>
            </w:r>
            <w:r w:rsidR="00196A2D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.</w:t>
            </w:r>
            <w:r w:rsidR="00D158BE" w:rsidRPr="00BB36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8D11A3" w:rsidRPr="00BB3668" w:rsidRDefault="008D11A3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155" w:rsidRPr="00BB3668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B3668">
        <w:rPr>
          <w:rFonts w:ascii="Times New Roman" w:hAnsi="Times New Roman"/>
          <w:b/>
          <w:sz w:val="28"/>
          <w:szCs w:val="28"/>
        </w:rPr>
        <w:t xml:space="preserve">. Степень регулирующего воздействия проекта </w:t>
      </w:r>
    </w:p>
    <w:p w:rsidR="0005694B" w:rsidRPr="00BB3668" w:rsidRDefault="00C1615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м</w:t>
      </w:r>
      <w:r w:rsidR="0005694B" w:rsidRPr="00BB3668">
        <w:rPr>
          <w:rFonts w:ascii="Times New Roman" w:hAnsi="Times New Roman"/>
          <w:b/>
          <w:sz w:val="28"/>
          <w:szCs w:val="28"/>
        </w:rPr>
        <w:t>униципального</w:t>
      </w:r>
      <w:r w:rsidRPr="00BB3668">
        <w:rPr>
          <w:rFonts w:ascii="Times New Roman" w:hAnsi="Times New Roman"/>
          <w:b/>
          <w:sz w:val="28"/>
          <w:szCs w:val="28"/>
        </w:rPr>
        <w:t xml:space="preserve"> </w:t>
      </w:r>
      <w:r w:rsidR="0005694B" w:rsidRPr="00BB3668">
        <w:rPr>
          <w:rFonts w:ascii="Times New Roman" w:hAnsi="Times New Roman"/>
          <w:b/>
          <w:sz w:val="28"/>
          <w:szCs w:val="28"/>
        </w:rPr>
        <w:t xml:space="preserve"> нормативного правового акта</w:t>
      </w:r>
    </w:p>
    <w:p w:rsidR="00396085" w:rsidRPr="00BB3668" w:rsidRDefault="0039608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BB3668" w:rsidRPr="00BB3668" w:rsidTr="00F70A79">
        <w:tc>
          <w:tcPr>
            <w:tcW w:w="4927" w:type="dxa"/>
          </w:tcPr>
          <w:p w:rsidR="0005694B" w:rsidRPr="00BB3668" w:rsidRDefault="0005694B" w:rsidP="00F70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27" w:type="dxa"/>
          </w:tcPr>
          <w:p w:rsidR="0005694B" w:rsidRPr="00BB3668" w:rsidRDefault="00123507" w:rsidP="00D158B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высокая</w:t>
            </w:r>
          </w:p>
        </w:tc>
      </w:tr>
      <w:tr w:rsidR="0005694B" w:rsidRPr="00BB3668" w:rsidTr="00F70A79">
        <w:trPr>
          <w:trHeight w:val="1378"/>
        </w:trPr>
        <w:tc>
          <w:tcPr>
            <w:tcW w:w="9854" w:type="dxa"/>
            <w:gridSpan w:val="2"/>
          </w:tcPr>
          <w:p w:rsidR="00A32075" w:rsidRPr="00BB3668" w:rsidRDefault="0005694B" w:rsidP="00D15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  <w:r w:rsidR="00D158BE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BB3668" w:rsidRDefault="00CF74A5" w:rsidP="00921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роект муниципального правового акта содержит положени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, устанавливающ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921896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 ранее не предусмотренны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 муниципальным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нормативн</w:t>
            </w:r>
            <w:r w:rsidR="00921896" w:rsidRPr="00BB3668">
              <w:rPr>
                <w:rFonts w:ascii="Times New Roman" w:hAnsi="Times New Roman"/>
                <w:sz w:val="24"/>
                <w:szCs w:val="24"/>
                <w:u w:val="single"/>
              </w:rPr>
              <w:t>ыми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правовым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3648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актами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города Нижневартовска </w:t>
            </w:r>
            <w:r w:rsidR="00123507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обязанности</w:t>
            </w:r>
            <w:r w:rsidR="00D158BE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для субъектов предпринимательской деятельности.</w:t>
            </w:r>
          </w:p>
        </w:tc>
      </w:tr>
    </w:tbl>
    <w:p w:rsidR="00615CB7" w:rsidRPr="00BB3668" w:rsidRDefault="00615CB7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5CB7" w:rsidRDefault="00615CB7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F3C68" w:rsidRDefault="00AF3C68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F3C68" w:rsidRPr="00BB3668" w:rsidRDefault="00AF3C68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15CB7" w:rsidRPr="00BB3668" w:rsidRDefault="00615CB7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0515" w:rsidRPr="00BB3668" w:rsidRDefault="00C16155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B3668">
        <w:rPr>
          <w:rFonts w:ascii="Times New Roman" w:hAnsi="Times New Roman"/>
          <w:b/>
          <w:sz w:val="28"/>
          <w:szCs w:val="28"/>
        </w:rPr>
        <w:t xml:space="preserve">. </w:t>
      </w:r>
      <w:r w:rsidR="0005694B" w:rsidRPr="00BB3668">
        <w:rPr>
          <w:rFonts w:ascii="Times New Roman" w:hAnsi="Times New Roman"/>
          <w:b/>
          <w:sz w:val="28"/>
          <w:szCs w:val="28"/>
        </w:rPr>
        <w:t>Описание проблемы, на решение которой направлен</w:t>
      </w:r>
    </w:p>
    <w:p w:rsidR="00520515" w:rsidRPr="00BB3668" w:rsidRDefault="0005694B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предлагаемый способ правового регулирования,</w:t>
      </w:r>
    </w:p>
    <w:p w:rsidR="00C16155" w:rsidRPr="00BB3668" w:rsidRDefault="0005694B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оценка негативных эффектов, возникающих</w:t>
      </w:r>
    </w:p>
    <w:p w:rsidR="0005694B" w:rsidRPr="00BB3668" w:rsidRDefault="0005694B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в связи с наличием рассматриваемой проблемы</w:t>
      </w:r>
    </w:p>
    <w:p w:rsidR="00396085" w:rsidRPr="00BB3668" w:rsidRDefault="00396085" w:rsidP="00396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3668" w:rsidRPr="00BB3668" w:rsidTr="00520515">
        <w:trPr>
          <w:trHeight w:val="1275"/>
        </w:trPr>
        <w:tc>
          <w:tcPr>
            <w:tcW w:w="9889" w:type="dxa"/>
            <w:shd w:val="clear" w:color="auto" w:fill="auto"/>
          </w:tcPr>
          <w:p w:rsidR="00CF74A5" w:rsidRPr="00BB3668" w:rsidRDefault="0005694B" w:rsidP="00C1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  <w:r w:rsidR="007E70B7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FBF" w:rsidRPr="00BB3668" w:rsidRDefault="00880FBF" w:rsidP="00C148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Доступ негосударственны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(немуниципальны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м) организациям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, индивидуальны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предпринимател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ям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, а также социально ориентированны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некоммерчески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организаци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ям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к предоставлению услуг в сфере организации отдыха и оздоровления детей.</w:t>
            </w:r>
          </w:p>
          <w:p w:rsidR="00880FBF" w:rsidRPr="00BB3668" w:rsidRDefault="00880FBF" w:rsidP="00880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Создание условий для осуществления персонифицированного финансирования летнего отдыха детей на территории города Нижневартовска.</w:t>
            </w:r>
          </w:p>
          <w:p w:rsidR="00880FBF" w:rsidRPr="00BB3668" w:rsidRDefault="00CB039C" w:rsidP="00ED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Установление механизмов персонифицированного финансирования в виде поддержки семьям в получении 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услуг в сфере организации отдыха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позволит детям города получить 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услуги в сфере организации отдыха н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 только муниципальны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учреждения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города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но и </w:t>
            </w:r>
            <w:r w:rsidR="00ED6810"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D6810" w:rsidRPr="00BB3668" w:rsidRDefault="00ED6810" w:rsidP="00ED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B3668" w:rsidRPr="00BB3668" w:rsidTr="00520515">
        <w:trPr>
          <w:trHeight w:val="1020"/>
        </w:trPr>
        <w:tc>
          <w:tcPr>
            <w:tcW w:w="9889" w:type="dxa"/>
            <w:shd w:val="clear" w:color="auto" w:fill="auto"/>
          </w:tcPr>
          <w:p w:rsidR="00CF74A5" w:rsidRPr="00BB3668" w:rsidRDefault="00520515" w:rsidP="00C14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  <w:r w:rsidR="009B0B0B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B41" w:rsidRPr="00BB3668" w:rsidRDefault="00610D80" w:rsidP="00100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Отсутствие </w:t>
            </w:r>
            <w:r w:rsidR="00CF02BC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доступности и снижение качества предоставляемых услуг в сфере организации отдыха 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детей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приведет к уменьшению спроса потребителей на указанные услуги и</w:t>
            </w:r>
            <w:r w:rsidR="00D4473D" w:rsidRPr="00BB366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следовательно</w:t>
            </w:r>
            <w:r w:rsidR="00D4473D" w:rsidRPr="00BB366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 сокращению поставщиков услуг – представителей среднего и малого предпринимательства, осуществляющи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="00D4473D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услуги в сфере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4473D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организации отдыха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детей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10D80" w:rsidRPr="00BB3668" w:rsidRDefault="00610D80" w:rsidP="00100F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68" w:rsidRPr="00BB3668" w:rsidTr="00520515">
        <w:trPr>
          <w:trHeight w:val="1440"/>
        </w:trPr>
        <w:tc>
          <w:tcPr>
            <w:tcW w:w="9889" w:type="dxa"/>
            <w:shd w:val="clear" w:color="auto" w:fill="auto"/>
          </w:tcPr>
          <w:p w:rsidR="00F73900" w:rsidRPr="00BB3668" w:rsidRDefault="00520515" w:rsidP="008A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  <w:r w:rsidR="00F73900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515" w:rsidRPr="00BB3668" w:rsidRDefault="00F93AB4" w:rsidP="00605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Принятие 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>оциально ориентированными некоммерческими организациями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позволит организовать работу по предоставлению финансового обеспечения затрат оказанных услуг в сфере организации отдыха детей негосударственным (немуниципальным) организациям, индивидуальным предпринимателям, а также социально ориентированным некоммерческим организациям.</w:t>
            </w:r>
          </w:p>
          <w:p w:rsidR="00F93AB4" w:rsidRPr="00BB3668" w:rsidRDefault="00F93AB4" w:rsidP="00605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68" w:rsidRPr="00BB3668" w:rsidTr="00E80319">
        <w:trPr>
          <w:trHeight w:val="317"/>
        </w:trPr>
        <w:tc>
          <w:tcPr>
            <w:tcW w:w="9889" w:type="dxa"/>
            <w:shd w:val="clear" w:color="auto" w:fill="auto"/>
          </w:tcPr>
          <w:p w:rsidR="00E80319" w:rsidRPr="00BB3668" w:rsidRDefault="00520515" w:rsidP="00E803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администрации города:</w:t>
            </w:r>
            <w:r w:rsidR="00F73900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0515" w:rsidRPr="00BB3668" w:rsidRDefault="00E371D0" w:rsidP="00E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проблема не может быть решена без участия администрации города, поскольку задачей администрации города является организация предоставления услуг в сфере организации отдыха и оздоровления детей. </w:t>
            </w:r>
          </w:p>
          <w:p w:rsidR="00E371D0" w:rsidRPr="00BB3668" w:rsidRDefault="00E371D0" w:rsidP="00E37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B3668" w:rsidRPr="00BB3668" w:rsidTr="00CE20CF">
        <w:trPr>
          <w:trHeight w:val="966"/>
        </w:trPr>
        <w:tc>
          <w:tcPr>
            <w:tcW w:w="9889" w:type="dxa"/>
            <w:shd w:val="clear" w:color="auto" w:fill="auto"/>
          </w:tcPr>
          <w:p w:rsidR="00520515" w:rsidRPr="00BB3668" w:rsidRDefault="00520515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20515" w:rsidRPr="00BB3668" w:rsidRDefault="00CC4262" w:rsidP="00CC42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Постановление администрации города от 17.09.2014 №1858 «Об утверждении </w:t>
            </w:r>
            <w:r w:rsidR="00135AF4" w:rsidRPr="00BB3668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униципальн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ой 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>программ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ы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15CB7" w:rsidRPr="00BB3668">
              <w:rPr>
                <w:rFonts w:ascii="Times New Roman" w:hAnsi="Times New Roman"/>
                <w:sz w:val="24"/>
                <w:szCs w:val="24"/>
                <w:u w:val="single"/>
              </w:rPr>
              <w:t>«Развитие образования города Нижневартовска на 2018-2025 годы и на период до 2030 года»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3.6. Опыт муниципальных образований Ханты-Мансийского автономного округа – Югры 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в соответствующих сферах деятельности:</w:t>
            </w:r>
            <w:r w:rsidR="00C26DEC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2AF" w:rsidRPr="00AF3C68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C26DEC" w:rsidRPr="00AF3C68">
              <w:rPr>
                <w:rFonts w:ascii="Times New Roman" w:hAnsi="Times New Roman"/>
                <w:sz w:val="24"/>
                <w:szCs w:val="24"/>
                <w:u w:val="single"/>
              </w:rPr>
              <w:t>тсутствует.</w:t>
            </w:r>
          </w:p>
          <w:p w:rsidR="0005694B" w:rsidRPr="00BB3668" w:rsidRDefault="0005694B" w:rsidP="006E2A03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8B507D" w:rsidRPr="00BB3668" w:rsidRDefault="008B507D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3.7. Выявление рисков, связанных с существующей ситуацией:</w:t>
            </w:r>
          </w:p>
          <w:p w:rsidR="008B507D" w:rsidRPr="00BB3668" w:rsidRDefault="009732AF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без принятия муниципального нормативного правового акта отсутствует возможность предоставления финансового обеспечения затрат оказанных услуг </w:t>
            </w:r>
            <w:r w:rsidR="00A8588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сфере организации отдыха детей негосударственным (немуниципальным) организациям, индивидуальным предпринимателям, а также социально ориентированным некоммерческим организациям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732AF" w:rsidRPr="00BB3668" w:rsidRDefault="009732AF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8B507D" w:rsidRPr="00BB3668" w:rsidRDefault="008B507D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3.8. Моделирование последствий, наступление которых возможно при отсутствии правового регулирования:</w:t>
            </w:r>
          </w:p>
          <w:p w:rsidR="008B507D" w:rsidRPr="00BB3668" w:rsidRDefault="007D69D9" w:rsidP="007D6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случае отсутствия регулирования в соответствующей сфере деятельности существует вероятность уменьшени</w:t>
            </w:r>
            <w:r w:rsidR="007C1F8F" w:rsidRPr="00BB366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количества субъектов малого и среднего предпринимательства на территории города Нижневартовска</w:t>
            </w:r>
            <w:r w:rsidR="000E237D" w:rsidRPr="00BB3668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оказывающих услуги </w:t>
            </w:r>
            <w:r w:rsidR="002C57C8"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сфере организации отдыха детей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2C57C8" w:rsidRPr="00BB3668" w:rsidRDefault="002C57C8" w:rsidP="007D69D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1E45AD" w:rsidRPr="00BB3668" w:rsidRDefault="001E45AD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3.9. Источник данных:</w:t>
            </w:r>
          </w:p>
          <w:p w:rsidR="002C57C8" w:rsidRPr="00BB3668" w:rsidRDefault="002C57C8" w:rsidP="001E45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1. Компьютерная справочная правовая система "Консультант Плюс".</w:t>
            </w:r>
          </w:p>
          <w:p w:rsidR="001E45AD" w:rsidRPr="00BB3668" w:rsidRDefault="002C57C8" w:rsidP="001E45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 </w:t>
            </w:r>
            <w:r w:rsidR="004A3164"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Нижневартовска.</w:t>
            </w:r>
          </w:p>
          <w:p w:rsidR="004A3164" w:rsidRPr="00BB3668" w:rsidRDefault="004A3164" w:rsidP="001E45A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07D" w:rsidRPr="00BB3668" w:rsidTr="00F70A79">
        <w:tc>
          <w:tcPr>
            <w:tcW w:w="9889" w:type="dxa"/>
            <w:shd w:val="clear" w:color="auto" w:fill="auto"/>
          </w:tcPr>
          <w:p w:rsidR="008B507D" w:rsidRPr="00BB3668" w:rsidRDefault="001E45AD" w:rsidP="00DD02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3.10. Иная информация о проблеме: </w:t>
            </w:r>
            <w:r w:rsidR="00922542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Отсутствует.</w:t>
            </w: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B3668">
        <w:rPr>
          <w:rFonts w:ascii="Times New Roman" w:hAnsi="Times New Roman"/>
          <w:b/>
          <w:sz w:val="28"/>
          <w:szCs w:val="28"/>
        </w:rPr>
        <w:t>. Цели предлагаемого правового регулирования</w:t>
      </w:r>
    </w:p>
    <w:p w:rsidR="0005694B" w:rsidRPr="00BB3668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05694B" w:rsidRPr="00BB3668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05694B" w:rsidRPr="00BB3668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социально-экономического развития города Нижневартовска</w:t>
      </w:r>
    </w:p>
    <w:p w:rsidR="0005694B" w:rsidRPr="00BB3668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и муниципальных программах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BB3668" w:rsidRPr="00BB3668" w:rsidTr="00F70A79">
        <w:tc>
          <w:tcPr>
            <w:tcW w:w="5125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4.1. Цели предлагаемого правового регулирования:</w:t>
            </w:r>
          </w:p>
        </w:tc>
        <w:tc>
          <w:tcPr>
            <w:tcW w:w="4764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4.2. Сроки достижения целей предлагаемого правового регулирования:</w:t>
            </w:r>
          </w:p>
        </w:tc>
      </w:tr>
      <w:tr w:rsidR="00BB3668" w:rsidRPr="00BB3668" w:rsidTr="00F70A79">
        <w:trPr>
          <w:trHeight w:val="232"/>
        </w:trPr>
        <w:tc>
          <w:tcPr>
            <w:tcW w:w="5125" w:type="dxa"/>
            <w:shd w:val="clear" w:color="auto" w:fill="auto"/>
          </w:tcPr>
          <w:p w:rsidR="00306881" w:rsidRPr="00BB3668" w:rsidRDefault="00E94753" w:rsidP="00E9475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овышени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доступности и качества предоставляемых услуг в сфере организации отдыха и оздоровления детей</w:t>
            </w:r>
          </w:p>
        </w:tc>
        <w:tc>
          <w:tcPr>
            <w:tcW w:w="4764" w:type="dxa"/>
            <w:shd w:val="clear" w:color="auto" w:fill="auto"/>
          </w:tcPr>
          <w:p w:rsidR="0005694B" w:rsidRPr="00BB3668" w:rsidRDefault="00F01E5F" w:rsidP="00AF3C6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</w:t>
            </w:r>
          </w:p>
        </w:tc>
      </w:tr>
      <w:tr w:rsidR="00BB3668" w:rsidRPr="00BB3668" w:rsidTr="00F70A79">
        <w:tc>
          <w:tcPr>
            <w:tcW w:w="9889" w:type="dxa"/>
            <w:gridSpan w:val="2"/>
            <w:shd w:val="clear" w:color="auto" w:fill="auto"/>
          </w:tcPr>
          <w:p w:rsidR="0005694B" w:rsidRPr="00BB3668" w:rsidRDefault="0005694B" w:rsidP="00F70A7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4.3. Обоснование соответствия целей предлагаемого 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регулирования принципам правового регулирования, а также приоритетам развития, представленным в Стратегии социально-экономического развития города Нижневартовска и муниципальных программах:</w:t>
            </w:r>
          </w:p>
          <w:p w:rsidR="0074745C" w:rsidRPr="00BB3668" w:rsidRDefault="00306881" w:rsidP="009E269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данной цели способствует обеспечению экономической и социальной стабильности в городе Нижневартовске. </w:t>
            </w:r>
          </w:p>
          <w:p w:rsidR="0074745C" w:rsidRPr="00BB3668" w:rsidRDefault="0074745C" w:rsidP="009E269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Модернизация сферы летнего отдыха детей является одним из приоритетных направлений Стратегии Социально-экономического развития Ханты-Мансийского автономного округа – Югры до 2020 года и на период 2030 года.</w:t>
            </w:r>
          </w:p>
          <w:p w:rsidR="0074745C" w:rsidRPr="00BB3668" w:rsidRDefault="0074745C" w:rsidP="0074745C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системы взаимодействия с некоммерческими организациями в сфере оказания социальных услуг, совершенствование нормативной-правовой базы в целях активизации и стимулирования участия социально ориентированных некоммерческих организаций в оказании социальных услуг, выполнения плана мероприятий («дорожной карты») по развитию социально ориентированных некоммерческих организаций в городе Нижневартовске является одним из приоритетных направлений социально-экономического развития города Нижневартовска согласно Стратегии Социально-экономического развития города Нижневартовска до 2030 года.</w:t>
            </w:r>
          </w:p>
          <w:p w:rsidR="00306881" w:rsidRPr="00BB3668" w:rsidRDefault="00306881" w:rsidP="009E2692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4B" w:rsidRPr="00BB3668" w:rsidTr="00F70A79">
        <w:tc>
          <w:tcPr>
            <w:tcW w:w="9889" w:type="dxa"/>
            <w:gridSpan w:val="2"/>
            <w:shd w:val="clear" w:color="auto" w:fill="auto"/>
          </w:tcPr>
          <w:p w:rsidR="0005694B" w:rsidRPr="00BB3668" w:rsidRDefault="0005694B" w:rsidP="007729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4.4. Иная информация о целях предлагаемого правового регулирования:</w:t>
            </w:r>
            <w:r w:rsidR="007729E2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6CC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Отсутствует.</w:t>
            </w:r>
          </w:p>
          <w:p w:rsidR="0005694B" w:rsidRPr="00BB3668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B3668">
        <w:rPr>
          <w:rFonts w:ascii="Times New Roman" w:hAnsi="Times New Roman"/>
          <w:b/>
          <w:sz w:val="28"/>
          <w:szCs w:val="28"/>
        </w:rPr>
        <w:t xml:space="preserve">. Описание предлагаемого правового регулирования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и иных возможных способов решения проблемы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3668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5.1. Описание предлагаемого способа решения проблемы и преодоления связанных с ним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негативных эффектов:</w:t>
            </w:r>
          </w:p>
          <w:p w:rsidR="007E6E9A" w:rsidRPr="00BB3668" w:rsidRDefault="00607CA8" w:rsidP="00AF3C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целях создания условий для осуществления персонифицированного финансирования летнего отдыха детей на территории города Нижневартовска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B56B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утверждается 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>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</w:t>
            </w:r>
            <w:r w:rsidR="00AF3C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F3C68" w:rsidRPr="00AF3C68">
              <w:rPr>
                <w:rFonts w:ascii="Times New Roman" w:hAnsi="Times New Roman"/>
                <w:sz w:val="24"/>
                <w:szCs w:val="24"/>
                <w:u w:val="single"/>
              </w:rPr>
              <w:t>социально ориентированными некоммерческими организациями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4B56BF" w:rsidRPr="00BB3668" w:rsidRDefault="004B56BF" w:rsidP="004B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- путем принятия нового нормативного правового акта;</w:t>
            </w:r>
          </w:p>
          <w:p w:rsidR="00253EFA" w:rsidRPr="00BB3668" w:rsidRDefault="004B56BF" w:rsidP="00AF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путем внесения изменений в муниципальную программу </w:t>
            </w:r>
            <w:r w:rsidR="00302F4B" w:rsidRPr="00BB3668">
              <w:rPr>
                <w:rFonts w:ascii="Times New Roman" w:hAnsi="Times New Roman"/>
                <w:sz w:val="24"/>
                <w:szCs w:val="24"/>
                <w:u w:val="single"/>
              </w:rPr>
              <w:t>«Развитие образования города Нижневартовска на 2018-2025 годы и на период до 2030 года»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, в части утверждения в составе программы порядка организации работы по персо</w:t>
            </w:r>
            <w:r w:rsidR="00004591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нифицированному финансированию организации отдыха детей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городе Нижневартовске.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7E6E9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5.3. Обоснование выбора предлагаемого способа решения проблемы:</w:t>
            </w:r>
          </w:p>
          <w:p w:rsidR="0005694B" w:rsidRPr="00BB3668" w:rsidRDefault="004B56BF" w:rsidP="0023171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выбранный способ решения проблемы отвечает требованиям постановления Правительства Российской Федерации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      </w:r>
            <w:r w:rsidR="00231711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физическим лицам – производите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лям товаров, работ, услуг".</w:t>
            </w:r>
          </w:p>
        </w:tc>
      </w:tr>
      <w:tr w:rsidR="0005694B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DD0207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5.4. Иная информация о предлагаемом способе решения проблемы:</w:t>
            </w:r>
            <w:r w:rsidR="0094544D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B92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Отсутствует.</w:t>
            </w:r>
          </w:p>
        </w:tc>
      </w:tr>
    </w:tbl>
    <w:p w:rsidR="00F36CD8" w:rsidRPr="00BB3668" w:rsidRDefault="00F36CD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B3668">
        <w:rPr>
          <w:rFonts w:ascii="Times New Roman" w:hAnsi="Times New Roman"/>
          <w:b/>
          <w:sz w:val="28"/>
          <w:szCs w:val="28"/>
        </w:rPr>
        <w:t xml:space="preserve">. Основные группы субъектов предпринимательской </w:t>
      </w: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и инвестиционной деятельности, иные заинтересованные лица, </w:t>
      </w: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интересы которых будут</w:t>
      </w:r>
      <w:r w:rsidR="00C16155" w:rsidRPr="00BB3668">
        <w:rPr>
          <w:rFonts w:ascii="Times New Roman" w:hAnsi="Times New Roman"/>
          <w:b/>
          <w:sz w:val="28"/>
          <w:szCs w:val="28"/>
        </w:rPr>
        <w:t xml:space="preserve"> </w:t>
      </w:r>
      <w:r w:rsidRPr="00BB3668">
        <w:rPr>
          <w:rFonts w:ascii="Times New Roman" w:hAnsi="Times New Roman"/>
          <w:b/>
          <w:sz w:val="28"/>
          <w:szCs w:val="28"/>
        </w:rPr>
        <w:t xml:space="preserve">затронуты предлагаемым </w:t>
      </w:r>
    </w:p>
    <w:p w:rsidR="0005694B" w:rsidRPr="00BB3668" w:rsidRDefault="001E33E9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правовым </w:t>
      </w:r>
      <w:r w:rsidR="0005694B" w:rsidRPr="00BB3668">
        <w:rPr>
          <w:rFonts w:ascii="Times New Roman" w:hAnsi="Times New Roman"/>
          <w:b/>
          <w:sz w:val="28"/>
          <w:szCs w:val="28"/>
        </w:rPr>
        <w:t>регулированием, оценка количества таких субъектов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BB3668" w:rsidRPr="00BB3668" w:rsidTr="001667D1">
        <w:tc>
          <w:tcPr>
            <w:tcW w:w="4644" w:type="dxa"/>
          </w:tcPr>
          <w:p w:rsidR="0005694B" w:rsidRPr="00BB3668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5210" w:type="dxa"/>
          </w:tcPr>
          <w:p w:rsidR="0005694B" w:rsidRPr="00BB3668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BB3668" w:rsidRPr="00BB3668" w:rsidTr="001667D1">
        <w:tc>
          <w:tcPr>
            <w:tcW w:w="4644" w:type="dxa"/>
          </w:tcPr>
          <w:p w:rsidR="004B56BF" w:rsidRPr="00BB3668" w:rsidRDefault="004B56BF" w:rsidP="004B56B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администрация города Нижневартовска</w:t>
            </w:r>
          </w:p>
        </w:tc>
        <w:tc>
          <w:tcPr>
            <w:tcW w:w="5210" w:type="dxa"/>
          </w:tcPr>
          <w:p w:rsidR="004B56BF" w:rsidRPr="00BB3668" w:rsidRDefault="004B56BF" w:rsidP="004B56B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BB3668" w:rsidRPr="00BB3668" w:rsidTr="001667D1">
        <w:tc>
          <w:tcPr>
            <w:tcW w:w="4644" w:type="dxa"/>
          </w:tcPr>
          <w:p w:rsidR="004B56BF" w:rsidRPr="00BB3668" w:rsidRDefault="00231711" w:rsidP="004B56B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негосударственны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(немуниципальны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) организаци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, индивидуальны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предприниматели, а также социально ориентированны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некоммерчески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организаци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осуществляющие</w:t>
            </w:r>
            <w:r w:rsidR="002E72B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услуги по организации летнего отдыха.</w:t>
            </w:r>
          </w:p>
          <w:p w:rsidR="00231711" w:rsidRPr="00BB3668" w:rsidRDefault="00231711" w:rsidP="004B56BF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10" w:type="dxa"/>
          </w:tcPr>
          <w:p w:rsidR="004B56BF" w:rsidRPr="00BB3668" w:rsidRDefault="00F01E5F" w:rsidP="00757C0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65513" w:rsidRPr="00BB3668" w:rsidTr="00F70A79">
        <w:tc>
          <w:tcPr>
            <w:tcW w:w="9854" w:type="dxa"/>
            <w:gridSpan w:val="2"/>
          </w:tcPr>
          <w:p w:rsidR="00065513" w:rsidRPr="00BB3668" w:rsidRDefault="00065513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6.3. Источники данных: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  <w:p w:rsidR="00065513" w:rsidRPr="00BB3668" w:rsidRDefault="00065513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0515" w:rsidRPr="00BB3668" w:rsidRDefault="00520515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33DE7" w:rsidRDefault="00F33DE7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3DE7" w:rsidRDefault="00F33DE7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3DE7" w:rsidRDefault="00F33DE7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3DE7" w:rsidRDefault="00F33DE7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3DE7" w:rsidRDefault="00F33DE7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3DE7" w:rsidRDefault="00F33DE7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3DE7" w:rsidRDefault="00F33DE7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33DE7" w:rsidRDefault="00F33DE7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6155" w:rsidRPr="00BB3668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BB3668">
        <w:rPr>
          <w:rFonts w:ascii="Times New Roman" w:hAnsi="Times New Roman"/>
          <w:b/>
          <w:sz w:val="28"/>
          <w:szCs w:val="28"/>
        </w:rPr>
        <w:t xml:space="preserve">. Изменение функций (полномочий, обязанностей, прав) </w:t>
      </w:r>
    </w:p>
    <w:p w:rsidR="00C16155" w:rsidRPr="00BB3668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структурных подразделений администрации города Нижневартовска, </w:t>
      </w:r>
    </w:p>
    <w:p w:rsidR="00C16155" w:rsidRPr="00BB3668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а также порядка их реализации в связи с введением предлагаемого </w:t>
      </w:r>
    </w:p>
    <w:p w:rsidR="0005694B" w:rsidRPr="00BB3668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правового регулирования</w:t>
      </w:r>
    </w:p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30"/>
        <w:gridCol w:w="2216"/>
        <w:gridCol w:w="2357"/>
        <w:gridCol w:w="2325"/>
      </w:tblGrid>
      <w:tr w:rsidR="00BB3668" w:rsidRPr="00BB3668" w:rsidTr="00FC66B5">
        <w:tc>
          <w:tcPr>
            <w:tcW w:w="2730" w:type="dxa"/>
          </w:tcPr>
          <w:p w:rsidR="0005694B" w:rsidRPr="00BB3668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7.1. Описание новых или из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>менений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существующих функций, полномочий, обязанностей или прав</w:t>
            </w:r>
          </w:p>
        </w:tc>
        <w:tc>
          <w:tcPr>
            <w:tcW w:w="2216" w:type="dxa"/>
          </w:tcPr>
          <w:p w:rsidR="0005694B" w:rsidRPr="00BB3668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7.2.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357" w:type="dxa"/>
          </w:tcPr>
          <w:p w:rsidR="0005694B" w:rsidRPr="00BB3668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325" w:type="dxa"/>
          </w:tcPr>
          <w:p w:rsidR="0005694B" w:rsidRPr="00BB3668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7.4. Оценка изменения потребностей в других ресурсах</w:t>
            </w:r>
          </w:p>
        </w:tc>
      </w:tr>
      <w:tr w:rsidR="00BB3668" w:rsidRPr="00BB3668" w:rsidTr="00FC66B5">
        <w:tc>
          <w:tcPr>
            <w:tcW w:w="9628" w:type="dxa"/>
            <w:gridSpan w:val="4"/>
          </w:tcPr>
          <w:p w:rsidR="0005694B" w:rsidRPr="00BB3668" w:rsidRDefault="00393485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  <w:p w:rsidR="00393485" w:rsidRPr="00BB3668" w:rsidRDefault="00393485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B3668" w:rsidRPr="00BB3668" w:rsidTr="00FC66B5">
        <w:tc>
          <w:tcPr>
            <w:tcW w:w="2730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Перечисление субсидии на иные цели уполномоченной организации</w:t>
            </w:r>
            <w:r w:rsidR="001134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16" w:type="dxa"/>
          </w:tcPr>
          <w:p w:rsidR="00F1666B" w:rsidRPr="00BB3668" w:rsidRDefault="00015F2D" w:rsidP="00DF333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течение 5 рабочих дней после получения от уполномоченной организации заявки о перечислении субсидии на иные цели</w:t>
            </w:r>
            <w:r w:rsidR="001134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357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FC66B5">
        <w:tc>
          <w:tcPr>
            <w:tcW w:w="2730" w:type="dxa"/>
          </w:tcPr>
          <w:p w:rsidR="00A45668" w:rsidRPr="00BB3668" w:rsidRDefault="00A45668" w:rsidP="00BB366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E9475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ассмо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тр</w:t>
            </w:r>
            <w:r w:rsidR="00E9475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ение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уведомлени</w:t>
            </w:r>
            <w:r w:rsidR="00E94753" w:rsidRPr="00BB366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 исключении из системы персонифицированного финансирования летнего отдыха и прин</w:t>
            </w:r>
            <w:r w:rsidR="00E94753" w:rsidRPr="00BB3668">
              <w:rPr>
                <w:rFonts w:ascii="Times New Roman" w:hAnsi="Times New Roman"/>
                <w:sz w:val="24"/>
                <w:szCs w:val="24"/>
                <w:u w:val="single"/>
              </w:rPr>
              <w:t>ятие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решени</w:t>
            </w:r>
            <w:r w:rsidR="00E94753" w:rsidRPr="00BB3668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 исключении поставщика услуг по организации летнего отдыха из реестра поставщиков услуг по организации летнего отдыха.</w:t>
            </w:r>
          </w:p>
        </w:tc>
        <w:tc>
          <w:tcPr>
            <w:tcW w:w="2216" w:type="dxa"/>
          </w:tcPr>
          <w:p w:rsidR="00A45668" w:rsidRPr="00BB3668" w:rsidRDefault="00A45668" w:rsidP="00E9475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день получения соответствующего уведомления</w:t>
            </w:r>
            <w:r w:rsidR="00285AE2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357" w:type="dxa"/>
          </w:tcPr>
          <w:p w:rsidR="00A45668" w:rsidRPr="00BB3668" w:rsidRDefault="00A45668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A45668" w:rsidRPr="00BB3668" w:rsidRDefault="00A45668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FC66B5">
        <w:tc>
          <w:tcPr>
            <w:tcW w:w="9628" w:type="dxa"/>
            <w:gridSpan w:val="4"/>
          </w:tcPr>
          <w:p w:rsidR="008228EC" w:rsidRPr="00BB3668" w:rsidRDefault="00FC66B5" w:rsidP="008228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Муниципальная уполномоченная организация – муниципальное автономное учреждение города Нижневартовска «Центр развития образования» (уполномоченная организация)</w:t>
            </w:r>
          </w:p>
          <w:p w:rsidR="00FC66B5" w:rsidRPr="00BB3668" w:rsidRDefault="00FC66B5" w:rsidP="008228E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B3668" w:rsidRPr="00BB3668" w:rsidTr="00FC66B5">
        <w:tc>
          <w:tcPr>
            <w:tcW w:w="2730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заявки на предоставление субсидии на иные цели в соответствии с соглашением в департамент образования</w:t>
            </w:r>
            <w:r w:rsidR="001134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16" w:type="dxa"/>
          </w:tcPr>
          <w:p w:rsidR="00015F2D" w:rsidRPr="00BB3668" w:rsidRDefault="00015F2D" w:rsidP="00B3609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5-го рабочего дня текущего </w:t>
            </w:r>
            <w:r w:rsidR="00B3609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летнего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месяца формирует заявку на предоставление субсидии на иные цели в соответствии с соглашением, заключенным с департаментом образования, с приложением реестра договоров</w:t>
            </w:r>
            <w:r w:rsidR="001134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357" w:type="dxa"/>
          </w:tcPr>
          <w:p w:rsidR="00015F2D" w:rsidRPr="00BB3668" w:rsidRDefault="00015F2D" w:rsidP="00015F2D"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015F2D" w:rsidRPr="00BB3668" w:rsidRDefault="00015F2D" w:rsidP="00015F2D"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FC66B5">
        <w:tc>
          <w:tcPr>
            <w:tcW w:w="2730" w:type="dxa"/>
          </w:tcPr>
          <w:p w:rsidR="00015F2D" w:rsidRPr="00BB3668" w:rsidRDefault="00E94753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Авансирование и о</w:t>
            </w:r>
            <w:r w:rsidR="00015F2D"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плата поставщику</w:t>
            </w:r>
            <w:r w:rsidR="00AA7F38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услуг</w:t>
            </w:r>
            <w:r w:rsidR="002C6FC0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</w:t>
            </w:r>
            <w:r w:rsidR="002C6FC0"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организации летнего отдыха</w:t>
            </w:r>
            <w:r w:rsidR="001134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16" w:type="dxa"/>
          </w:tcPr>
          <w:p w:rsidR="00015F2D" w:rsidRPr="00BB3668" w:rsidRDefault="00015F2D" w:rsidP="00FD3B7A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Не позднее 5-ти рабочих дней по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сле получения субсидии на иные цели осуществляет авансирование </w:t>
            </w:r>
            <w:r w:rsidR="00D145C3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оплату </w:t>
            </w:r>
            <w:r w:rsidR="00FD3B7A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слуг в соответствии со счетом поставщика </w:t>
            </w:r>
            <w:r w:rsidR="00FD3B7A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услуг по организации летнего отдыха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на авансирование</w:t>
            </w:r>
            <w:r w:rsidR="00F01E5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145C3" w:rsidRPr="00BB3668">
              <w:rPr>
                <w:rFonts w:ascii="Times New Roman" w:hAnsi="Times New Roman"/>
                <w:sz w:val="24"/>
                <w:szCs w:val="24"/>
                <w:u w:val="single"/>
              </w:rPr>
              <w:t>и оплату указанных услуг</w:t>
            </w:r>
            <w:r w:rsidR="001134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357" w:type="dxa"/>
          </w:tcPr>
          <w:p w:rsidR="00015F2D" w:rsidRPr="00BB3668" w:rsidRDefault="00015F2D" w:rsidP="00015F2D"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Отсутствуют</w:t>
            </w:r>
          </w:p>
        </w:tc>
        <w:tc>
          <w:tcPr>
            <w:tcW w:w="2325" w:type="dxa"/>
          </w:tcPr>
          <w:p w:rsidR="00015F2D" w:rsidRPr="00BB3668" w:rsidRDefault="00015F2D" w:rsidP="00015F2D"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FC66B5">
        <w:tc>
          <w:tcPr>
            <w:tcW w:w="2730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Возврат не использованного в текущем финансовом году остатка субсидии</w:t>
            </w:r>
            <w:r w:rsidR="001134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216" w:type="dxa"/>
          </w:tcPr>
          <w:p w:rsidR="00015F2D" w:rsidRPr="00BB3668" w:rsidRDefault="00015F2D" w:rsidP="00AA7F3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 </w:t>
            </w:r>
            <w:r w:rsidR="00AA7F38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сентября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текущего года осуществляет возврат не использованного в текущем финансовом году остатка субсидии на лицевой счет уполномоченного органа</w:t>
            </w:r>
            <w:r w:rsidR="001134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57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015F2D" w:rsidRPr="00BB3668" w:rsidRDefault="00015F2D" w:rsidP="00015F2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E94753">
        <w:tc>
          <w:tcPr>
            <w:tcW w:w="2730" w:type="dxa"/>
          </w:tcPr>
          <w:p w:rsidR="00285AE2" w:rsidRPr="00BB3668" w:rsidRDefault="00E94753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="00285AE2" w:rsidRPr="00BB3668">
              <w:rPr>
                <w:rFonts w:ascii="Times New Roman" w:hAnsi="Times New Roman"/>
                <w:sz w:val="24"/>
                <w:szCs w:val="24"/>
                <w:u w:val="single"/>
              </w:rPr>
              <w:t>ключени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285AE2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реестр</w:t>
            </w:r>
            <w:r w:rsidR="00285AE2" w:rsidRPr="00BB3668">
              <w:t xml:space="preserve"> </w:t>
            </w:r>
            <w:r w:rsidR="00285AE2"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поставщиков услуг по организации летнего отдыха</w:t>
            </w:r>
          </w:p>
        </w:tc>
        <w:tc>
          <w:tcPr>
            <w:tcW w:w="2216" w:type="dxa"/>
          </w:tcPr>
          <w:p w:rsidR="00F87895" w:rsidRPr="00BB3668" w:rsidRDefault="00E94753" w:rsidP="00E9475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случае принятия положительного решения, осуществляется в</w:t>
            </w:r>
            <w:r w:rsidR="003925AF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течение 2 рабочих дней включает в </w:t>
            </w:r>
            <w:r w:rsidR="00A456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3925AF" w:rsidRPr="00BB3668">
              <w:rPr>
                <w:rFonts w:ascii="Times New Roman" w:hAnsi="Times New Roman"/>
                <w:sz w:val="24"/>
                <w:szCs w:val="24"/>
                <w:u w:val="single"/>
              </w:rPr>
              <w:t>еестр</w:t>
            </w:r>
            <w:r w:rsidR="00A45668" w:rsidRPr="00BB3668">
              <w:t xml:space="preserve"> </w:t>
            </w:r>
            <w:r w:rsidR="00A45668"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поставщиков услуг по организации летнего отдыха</w:t>
            </w:r>
            <w:r w:rsidR="003925AF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357" w:type="dxa"/>
          </w:tcPr>
          <w:p w:rsidR="00F87895" w:rsidRPr="00BB3668" w:rsidRDefault="00F87895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F87895" w:rsidRPr="00BB3668" w:rsidRDefault="00F87895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E94753">
        <w:tc>
          <w:tcPr>
            <w:tcW w:w="2730" w:type="dxa"/>
          </w:tcPr>
          <w:p w:rsidR="00F87895" w:rsidRPr="00BB3668" w:rsidRDefault="001B14E8" w:rsidP="00BB3668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F8789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одгот</w:t>
            </w:r>
            <w:r w:rsidR="005840F8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овка</w:t>
            </w:r>
            <w:r w:rsidR="00F8789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уведомле</w:t>
            </w:r>
            <w:r w:rsidR="005840F8"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="00F8789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 включении поставщика услуг по организации летнего отдыха в </w:t>
            </w:r>
            <w:r w:rsidR="00442CAA" w:rsidRPr="00BB3668">
              <w:rPr>
                <w:rFonts w:ascii="Times New Roman" w:hAnsi="Times New Roman"/>
                <w:sz w:val="24"/>
                <w:szCs w:val="24"/>
                <w:u w:val="single"/>
              </w:rPr>
              <w:t>реестр поставщиков услуг по организации летнего отдыха</w:t>
            </w:r>
            <w:r w:rsidR="00F8789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2216" w:type="dxa"/>
          </w:tcPr>
          <w:p w:rsidR="00F87895" w:rsidRPr="00BB3668" w:rsidRDefault="00285AE2" w:rsidP="00BB366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течение 3 рабочих дней после принятия положительного решения.</w:t>
            </w:r>
          </w:p>
        </w:tc>
        <w:tc>
          <w:tcPr>
            <w:tcW w:w="2357" w:type="dxa"/>
          </w:tcPr>
          <w:p w:rsidR="00F87895" w:rsidRPr="00BB3668" w:rsidRDefault="00F87895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F87895" w:rsidRPr="00BB3668" w:rsidRDefault="00F87895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E94753">
        <w:tc>
          <w:tcPr>
            <w:tcW w:w="2730" w:type="dxa"/>
          </w:tcPr>
          <w:p w:rsidR="00924905" w:rsidRPr="00BB3668" w:rsidRDefault="00E94753" w:rsidP="0092490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Подготовка </w:t>
            </w:r>
            <w:r w:rsidR="0092490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уведомления об отказе во включении в реестр поставщиков услуг по организации летнего отдыха. </w:t>
            </w:r>
          </w:p>
          <w:p w:rsidR="00924905" w:rsidRPr="00BB3668" w:rsidRDefault="00924905" w:rsidP="0092490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7895" w:rsidRPr="00BB3668" w:rsidRDefault="00F87895" w:rsidP="0092490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924905" w:rsidRPr="00BB3668" w:rsidRDefault="00924905" w:rsidP="00E94753">
            <w:pPr>
              <w:pStyle w:val="a5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течении 2 рабочих дней после принятия отрицательного решения.</w:t>
            </w:r>
            <w:r w:rsidRPr="00BB3668">
              <w:rPr>
                <w:rFonts w:ascii="Times New Roman" w:hAnsi="Times New Roman"/>
                <w:strike/>
                <w:sz w:val="24"/>
                <w:szCs w:val="24"/>
                <w:u w:val="single"/>
              </w:rPr>
              <w:t xml:space="preserve"> </w:t>
            </w:r>
          </w:p>
          <w:p w:rsidR="00F87895" w:rsidRPr="00BB3668" w:rsidRDefault="00F87895" w:rsidP="00E9475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F87895" w:rsidRPr="00BB3668" w:rsidRDefault="00F87895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F87895" w:rsidRPr="00BB3668" w:rsidRDefault="00F87895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E94753">
        <w:tc>
          <w:tcPr>
            <w:tcW w:w="2730" w:type="dxa"/>
          </w:tcPr>
          <w:p w:rsidR="00F87895" w:rsidRPr="00BB3668" w:rsidRDefault="00F87895" w:rsidP="0064696A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Внесение изменений в сведения, содержащиеся в </w:t>
            </w:r>
            <w:r w:rsidR="0064696A" w:rsidRPr="00BB3668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еестре</w:t>
            </w:r>
            <w:r w:rsidR="0064696A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поставщиков услуг по организации летнего отдыха.</w:t>
            </w:r>
          </w:p>
        </w:tc>
        <w:tc>
          <w:tcPr>
            <w:tcW w:w="2216" w:type="dxa"/>
          </w:tcPr>
          <w:p w:rsidR="00F87895" w:rsidRPr="00BB3668" w:rsidRDefault="00D516A3" w:rsidP="00E9475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 рабочих дней со дня получения уведомления об изменении сведений о поставщике услуг по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организации летнего отдыха.</w:t>
            </w:r>
          </w:p>
          <w:p w:rsidR="0064696A" w:rsidRPr="00BB3668" w:rsidRDefault="0064696A" w:rsidP="00E9475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57" w:type="dxa"/>
          </w:tcPr>
          <w:p w:rsidR="00F87895" w:rsidRPr="00BB3668" w:rsidRDefault="00F87895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Отсутствуют</w:t>
            </w:r>
          </w:p>
        </w:tc>
        <w:tc>
          <w:tcPr>
            <w:tcW w:w="2325" w:type="dxa"/>
          </w:tcPr>
          <w:p w:rsidR="00F87895" w:rsidRPr="00BB3668" w:rsidRDefault="00F87895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BB3668" w:rsidRPr="00BB3668" w:rsidTr="00E94753">
        <w:tc>
          <w:tcPr>
            <w:tcW w:w="9628" w:type="dxa"/>
            <w:gridSpan w:val="4"/>
          </w:tcPr>
          <w:p w:rsidR="00E94753" w:rsidRPr="00BB3668" w:rsidRDefault="00E94753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Рабочая группа по организации отдыха детей</w:t>
            </w:r>
          </w:p>
        </w:tc>
      </w:tr>
      <w:tr w:rsidR="00BB3668" w:rsidRPr="00BB3668" w:rsidTr="00E94753">
        <w:tc>
          <w:tcPr>
            <w:tcW w:w="2730" w:type="dxa"/>
          </w:tcPr>
          <w:p w:rsidR="00E94753" w:rsidRPr="00BB3668" w:rsidRDefault="00E94753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Осуществление проверки сведений, содержащихся в заявлении и копий документов.</w:t>
            </w:r>
          </w:p>
        </w:tc>
        <w:tc>
          <w:tcPr>
            <w:tcW w:w="2216" w:type="dxa"/>
          </w:tcPr>
          <w:p w:rsidR="00E94753" w:rsidRPr="00BB3668" w:rsidRDefault="00E94753" w:rsidP="00E94753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 течение 3 рабочих дней после окончания приема документов рассматривает представленный пакет документов и принимает решение о включении либо об отказе включения в Реестр.</w:t>
            </w:r>
          </w:p>
        </w:tc>
        <w:tc>
          <w:tcPr>
            <w:tcW w:w="2357" w:type="dxa"/>
          </w:tcPr>
          <w:p w:rsidR="00E94753" w:rsidRPr="00BB3668" w:rsidRDefault="00E94753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325" w:type="dxa"/>
          </w:tcPr>
          <w:p w:rsidR="00E94753" w:rsidRPr="00BB3668" w:rsidRDefault="00E94753" w:rsidP="00E9475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322A3A" w:rsidRPr="00BB3668" w:rsidRDefault="00322A3A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B3668">
        <w:rPr>
          <w:rFonts w:ascii="Times New Roman" w:hAnsi="Times New Roman"/>
          <w:b/>
          <w:sz w:val="28"/>
          <w:szCs w:val="28"/>
        </w:rPr>
        <w:t xml:space="preserve">. Анализ выгод и издержек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от реализации предлагаемого</w:t>
      </w:r>
      <w:r w:rsidR="001E33E9" w:rsidRPr="00BB3668">
        <w:rPr>
          <w:rFonts w:ascii="Times New Roman" w:hAnsi="Times New Roman"/>
          <w:b/>
          <w:sz w:val="28"/>
          <w:szCs w:val="28"/>
        </w:rPr>
        <w:t xml:space="preserve"> </w:t>
      </w:r>
      <w:r w:rsidRPr="00BB3668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3668" w:rsidRPr="00BB3668" w:rsidTr="001E33E9">
        <w:trPr>
          <w:trHeight w:val="1340"/>
        </w:trPr>
        <w:tc>
          <w:tcPr>
            <w:tcW w:w="9889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A17684" w:rsidRPr="00BB3668" w:rsidRDefault="00A17684" w:rsidP="00F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предполагаемый способ регулирования затрагивает исключительно </w:t>
            </w:r>
            <w:r w:rsidR="001B25B8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услуги по организации летнего отдыха.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Регулированию подлежит деятельность 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негосударственных (немуниципальных) организаций, индивидуальных предпринимателей, а также социально ориентированных некоммерчески</w:t>
            </w:r>
            <w:r w:rsidR="00F73AAB" w:rsidRPr="00BB3668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организаци</w:t>
            </w:r>
            <w:r w:rsidR="00F73AAB" w:rsidRPr="00BB3668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осуществляющих </w:t>
            </w:r>
            <w:r w:rsidR="00F73AAB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услуги по организации летнего отдыха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73AAB" w:rsidRPr="00BB3668" w:rsidRDefault="00F73AAB" w:rsidP="00F73A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8.2. Качественное описание и количественная оценка ожидаемого негативного воздействия    и период соответствующего воздействия: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согласно Методике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от 30.09.2013 №155 стандартные издержки, возникающие в</w:t>
            </w:r>
            <w:r w:rsidR="00710EE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связи с исполнением требований муниципального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нормативного акта составят </w:t>
            </w:r>
            <w:r w:rsidR="00151592" w:rsidRPr="00BB3668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="00302F4B" w:rsidRPr="00BB3668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="00151592" w:rsidRPr="00BB3668">
              <w:rPr>
                <w:rFonts w:ascii="Times New Roman" w:hAnsi="Times New Roman"/>
                <w:sz w:val="24"/>
                <w:szCs w:val="24"/>
                <w:u w:val="single"/>
              </w:rPr>
              <w:t>533,2</w:t>
            </w:r>
            <w:r w:rsidR="00302F4B" w:rsidRPr="00BB366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рубля в год.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Рисков непредвиденных негативных последствий нет.</w:t>
            </w:r>
          </w:p>
        </w:tc>
      </w:tr>
      <w:tr w:rsidR="00BB3668" w:rsidRPr="00BB3668" w:rsidTr="00F70A79">
        <w:tc>
          <w:tcPr>
            <w:tcW w:w="9889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8.3. Качественное описание и количественная оценка ожидаемого позитивного воздействия   и период соответствующего воздействия: </w:t>
            </w:r>
          </w:p>
          <w:p w:rsidR="0005694B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нормативно-правового акта направлен на создание благоприятных условий для устойчивого развития малого и среднего предпринимательства в сфере предоставления </w:t>
            </w:r>
            <w:r w:rsidR="001B25B8" w:rsidRPr="00BB3668">
              <w:rPr>
                <w:rFonts w:ascii="Times New Roman" w:hAnsi="Times New Roman"/>
                <w:sz w:val="24"/>
                <w:szCs w:val="24"/>
                <w:u w:val="single"/>
              </w:rPr>
              <w:t>услуг по организации летнего отдыха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05694B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05694B" w:rsidP="00056EF9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8.4. Источники данных:</w:t>
            </w:r>
            <w:r w:rsidR="00056EF9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EF9"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BB3668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города Нижневартовска, а также расходов субъектов </w:t>
      </w: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</w:t>
      </w:r>
    </w:p>
    <w:p w:rsidR="00C1615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 xml:space="preserve">связанных с необходимостью соблюдения устанавливаемых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3668">
        <w:rPr>
          <w:rFonts w:ascii="Times New Roman" w:hAnsi="Times New Roman"/>
          <w:b/>
          <w:sz w:val="28"/>
          <w:szCs w:val="28"/>
        </w:rPr>
        <w:t>(изменяемых) обязанностей, ограничений или запретов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BB3668" w:rsidRPr="00BB3668" w:rsidTr="005E2E4D">
        <w:trPr>
          <w:trHeight w:val="904"/>
        </w:trPr>
        <w:tc>
          <w:tcPr>
            <w:tcW w:w="3369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</w:t>
            </w:r>
          </w:p>
        </w:tc>
      </w:tr>
      <w:tr w:rsidR="00BB3668" w:rsidRPr="00BB3668" w:rsidTr="00F70A79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5694B" w:rsidRPr="00BB3668" w:rsidRDefault="0005694B" w:rsidP="008D11A3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r w:rsidR="008D2E9E" w:rsidRPr="00BB3668">
              <w:rPr>
                <w:rFonts w:ascii="Times New Roman" w:hAnsi="Times New Roman"/>
                <w:sz w:val="24"/>
                <w:szCs w:val="24"/>
                <w:u w:val="single"/>
              </w:rPr>
              <w:t>Бюджет города Нижневартовска</w:t>
            </w:r>
          </w:p>
        </w:tc>
      </w:tr>
      <w:tr w:rsidR="00BB3668" w:rsidRPr="00BB3668" w:rsidTr="00F70A7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</w:t>
            </w:r>
            <w:r w:rsidRPr="00BB366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Перечисление субсидии уполномоченной организации департаментом образования.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17684" w:rsidRPr="00BB3668" w:rsidRDefault="00A17684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</w:t>
            </w:r>
            <w:r w:rsidR="00035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A17684" w:rsidRPr="00BB3668" w:rsidRDefault="000356FE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1750</w:t>
            </w:r>
            <w:r w:rsidR="00E43FA4" w:rsidRPr="00BB3668">
              <w:rPr>
                <w:rFonts w:ascii="Times New Roman" w:hAnsi="Times New Roman"/>
              </w:rPr>
              <w:t>,00</w:t>
            </w:r>
            <w:r w:rsidR="00E43FA4" w:rsidRPr="00BB3668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A17684" w:rsidRPr="00BB3668" w:rsidRDefault="00E43FA4" w:rsidP="00E9475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9.4.4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Возможные поступления за период 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684" w:rsidRPr="00BB3668" w:rsidRDefault="00E43FA4" w:rsidP="00E9475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 w:val="restart"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 заявки о перечислении субсидии в департамент образования</w:t>
            </w: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</w:t>
            </w:r>
            <w:r w:rsidR="00035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9.4.4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Возможные поступления за период </w:t>
            </w:r>
          </w:p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 w:val="restart"/>
            <w:shd w:val="clear" w:color="auto" w:fill="auto"/>
          </w:tcPr>
          <w:p w:rsidR="00E43FA4" w:rsidRPr="00BB3668" w:rsidRDefault="00E43FA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Оплата поставщику услуг по организации летнего отдыха</w:t>
            </w: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</w:t>
            </w:r>
            <w:r w:rsidR="00035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="009C2A41"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A17684" w:rsidRPr="00BB3668" w:rsidRDefault="00A17684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7684" w:rsidRPr="00BB3668" w:rsidRDefault="00A17684" w:rsidP="00A176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Оплата поставщику </w:t>
            </w:r>
            <w:r w:rsidR="00E90E8E" w:rsidRPr="00BB3668">
              <w:rPr>
                <w:rFonts w:ascii="Times New Roman" w:hAnsi="Times New Roman"/>
                <w:sz w:val="24"/>
                <w:szCs w:val="24"/>
              </w:rPr>
              <w:t>услуг по организации летнего отдыха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осуществляется из средств, перечисленных уполномоченной организации от департамента образования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8D11A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9.4.4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Возможные поступления за период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 w:val="restart"/>
            <w:shd w:val="clear" w:color="auto" w:fill="auto"/>
          </w:tcPr>
          <w:p w:rsidR="00E43FA4" w:rsidRPr="00BB3668" w:rsidRDefault="00E43FA4" w:rsidP="001727B9">
            <w:pPr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Ведение Реестра поставщиков услуг по организации летнего отдыха.</w:t>
            </w: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0356FE">
            <w:pPr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</w:t>
            </w:r>
            <w:r w:rsidR="00035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9.4.34.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__год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E43FA4" w:rsidRPr="00BB3668" w:rsidRDefault="00E43FA4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3FA4" w:rsidRPr="00BB3668" w:rsidRDefault="00E43FA4" w:rsidP="00E94753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9.4.4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Возможные поступления за период</w:t>
            </w:r>
          </w:p>
        </w:tc>
        <w:tc>
          <w:tcPr>
            <w:tcW w:w="3402" w:type="dxa"/>
            <w:shd w:val="clear" w:color="auto" w:fill="auto"/>
          </w:tcPr>
          <w:p w:rsidR="00E43FA4" w:rsidRPr="00BB3668" w:rsidRDefault="00E43FA4" w:rsidP="00E43FA4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143641" w:rsidRPr="00BB3668" w:rsidRDefault="00143641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143641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0,00</w:t>
            </w:r>
            <w:r w:rsidR="00E43FA4" w:rsidRPr="00BB366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B3668" w:rsidRPr="00BB3668" w:rsidTr="00F70A79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0356FE" w:rsidP="00615CB7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1750</w:t>
            </w:r>
            <w:r w:rsidR="00143641" w:rsidRPr="00BB3668">
              <w:rPr>
                <w:rFonts w:ascii="Times New Roman" w:hAnsi="Times New Roman"/>
              </w:rPr>
              <w:t>,00</w:t>
            </w:r>
            <w:r w:rsidR="00143641" w:rsidRPr="00BB3668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BB3668" w:rsidRPr="00BB3668" w:rsidTr="00F70A79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 Наименование субъекта предпринимательской и инвестиционной деятельности:</w:t>
            </w:r>
          </w:p>
          <w:p w:rsidR="00143641" w:rsidRPr="00BB3668" w:rsidRDefault="00143641" w:rsidP="00747ED6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негосударственные (немуниципальные) организации, индивидуальные предприниматели, а также социально ориентированные некоммерческие организации, осуществляющие услуги по организации летнего отдыха.</w:t>
            </w:r>
          </w:p>
        </w:tc>
      </w:tr>
      <w:tr w:rsidR="00BB3668" w:rsidRPr="00BB3668" w:rsidTr="00F70A7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143641" w:rsidRPr="00BB3668" w:rsidRDefault="00143641" w:rsidP="00151592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Направление в уполномоченную организацию заявок на авансирование</w:t>
            </w:r>
          </w:p>
        </w:tc>
        <w:tc>
          <w:tcPr>
            <w:tcW w:w="3118" w:type="dxa"/>
            <w:shd w:val="clear" w:color="auto" w:fill="auto"/>
          </w:tcPr>
          <w:p w:rsidR="00143641" w:rsidRPr="00BB3668" w:rsidRDefault="00143641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</w:t>
            </w:r>
            <w:r w:rsidR="00035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11660C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2 631,17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43641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 w:val="restart"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Направление в уполномоченную организацию документов для возмещения затрат</w:t>
            </w:r>
          </w:p>
        </w:tc>
        <w:tc>
          <w:tcPr>
            <w:tcW w:w="3118" w:type="dxa"/>
            <w:shd w:val="clear" w:color="auto" w:fill="auto"/>
          </w:tcPr>
          <w:p w:rsidR="00143641" w:rsidRPr="00BB3668" w:rsidRDefault="00143641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</w:t>
            </w:r>
            <w:r w:rsidR="00035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11660C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2 631,17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143641" w:rsidRPr="00BB3668" w:rsidRDefault="00143641" w:rsidP="00A1768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143641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 w:val="restart"/>
            <w:shd w:val="clear" w:color="auto" w:fill="auto"/>
          </w:tcPr>
          <w:p w:rsidR="00FD690B" w:rsidRPr="00BB3668" w:rsidRDefault="00FD690B" w:rsidP="00FD690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</w:t>
            </w:r>
            <w:r w:rsidR="0011660C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Направление документов для включения в реестр организаций отдыха детей и их оздоровления, осуществляющих деятельность в муниципальном образовании город Нижневартовск</w:t>
            </w:r>
          </w:p>
        </w:tc>
        <w:tc>
          <w:tcPr>
            <w:tcW w:w="3118" w:type="dxa"/>
            <w:shd w:val="clear" w:color="auto" w:fill="auto"/>
          </w:tcPr>
          <w:p w:rsidR="00FD690B" w:rsidRPr="00BB3668" w:rsidRDefault="00FD690B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</w:t>
            </w:r>
            <w:r w:rsidR="00035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FD690B" w:rsidRPr="00BB3668" w:rsidRDefault="0011660C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2 631,17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FD690B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FD690B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 w:val="restart"/>
            <w:shd w:val="clear" w:color="auto" w:fill="auto"/>
          </w:tcPr>
          <w:p w:rsidR="00FD690B" w:rsidRPr="00BB3668" w:rsidRDefault="00FD690B" w:rsidP="00FD690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</w:t>
            </w:r>
            <w:r w:rsidR="0011660C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Направление документов для включения в реестр поставщиков услуг по организации летнего отдыха</w:t>
            </w:r>
          </w:p>
        </w:tc>
        <w:tc>
          <w:tcPr>
            <w:tcW w:w="3118" w:type="dxa"/>
            <w:shd w:val="clear" w:color="auto" w:fill="auto"/>
          </w:tcPr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2019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FD690B" w:rsidRPr="00BB3668" w:rsidRDefault="0011660C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3 639,72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FD690B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FD690B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 w:val="restart"/>
            <w:shd w:val="clear" w:color="auto" w:fill="auto"/>
          </w:tcPr>
          <w:p w:rsidR="00FD690B" w:rsidRPr="00BB3668" w:rsidRDefault="00FD690B" w:rsidP="00FD690B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9.7.1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</w:t>
            </w:r>
            <w:r w:rsidR="007F613D" w:rsidRPr="00BB36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Направление в департамент образования новых сведений, с приложением копий документов, подтвер</w:t>
            </w:r>
            <w:r w:rsidR="007F613D" w:rsidRPr="00BB36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ждающих изменения, для внесения изменений в реестр поставщиков услуг по организации летнего отдыха</w:t>
            </w:r>
          </w:p>
        </w:tc>
        <w:tc>
          <w:tcPr>
            <w:tcW w:w="3118" w:type="dxa"/>
            <w:shd w:val="clear" w:color="auto" w:fill="auto"/>
          </w:tcPr>
          <w:p w:rsidR="00FD690B" w:rsidRPr="00BB3668" w:rsidRDefault="00FD690B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9.7.2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Единовременные расходы в 20</w:t>
            </w:r>
            <w:r w:rsidR="000356FE">
              <w:rPr>
                <w:rFonts w:ascii="Times New Roman" w:hAnsi="Times New Roman"/>
                <w:sz w:val="24"/>
                <w:szCs w:val="24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FD690B" w:rsidRPr="00BB3668" w:rsidRDefault="00FD690B" w:rsidP="00BB3668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FD690B" w:rsidRPr="00BB3668" w:rsidRDefault="00FD690B" w:rsidP="00A1768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9.7.3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 Периодические расходы за период реализации полномочия 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__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год</w:t>
            </w:r>
          </w:p>
          <w:p w:rsidR="00FD690B" w:rsidRPr="00BB3668" w:rsidRDefault="00FD690B" w:rsidP="00BB366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FD690B" w:rsidRPr="00BB3668" w:rsidRDefault="00FD690B" w:rsidP="00BB3668">
            <w:pPr>
              <w:jc w:val="center"/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F70A79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143641" w:rsidRPr="00BB3668" w:rsidRDefault="00143641" w:rsidP="00A1768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5B71D5" w:rsidP="00A1768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11 533,23 руб.</w:t>
            </w:r>
          </w:p>
        </w:tc>
      </w:tr>
      <w:tr w:rsidR="00BB3668" w:rsidRPr="00BB3668" w:rsidTr="00F70A79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143641" w:rsidRPr="00BB3668" w:rsidRDefault="00143641" w:rsidP="00A17684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143641" w:rsidRPr="00BB3668" w:rsidRDefault="005B71D5" w:rsidP="0011660C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0,00 руб.</w:t>
            </w:r>
          </w:p>
        </w:tc>
      </w:tr>
      <w:tr w:rsidR="00BB3668" w:rsidRPr="00BB3668" w:rsidTr="002A4A3F">
        <w:trPr>
          <w:trHeight w:val="356"/>
        </w:trPr>
        <w:tc>
          <w:tcPr>
            <w:tcW w:w="9889" w:type="dxa"/>
            <w:gridSpan w:val="3"/>
            <w:shd w:val="clear" w:color="auto" w:fill="auto"/>
          </w:tcPr>
          <w:p w:rsidR="00143641" w:rsidRPr="00BB3668" w:rsidRDefault="00143641" w:rsidP="00A176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9.10. Иные сведения о расходах субъектов отношений: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отсутствуют.</w:t>
            </w:r>
          </w:p>
        </w:tc>
      </w:tr>
      <w:tr w:rsidR="00143641" w:rsidRPr="00BB3668" w:rsidTr="002A4A3F">
        <w:trPr>
          <w:trHeight w:val="417"/>
        </w:trPr>
        <w:tc>
          <w:tcPr>
            <w:tcW w:w="9889" w:type="dxa"/>
            <w:gridSpan w:val="3"/>
            <w:shd w:val="clear" w:color="auto" w:fill="auto"/>
          </w:tcPr>
          <w:p w:rsidR="00143641" w:rsidRPr="00BB3668" w:rsidRDefault="00143641" w:rsidP="00A1768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9.11. Источники данных: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52051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  <w:lang w:val="en-US"/>
        </w:rPr>
        <w:t>X</w:t>
      </w:r>
      <w:r w:rsidRPr="00BB3668">
        <w:rPr>
          <w:rFonts w:ascii="Times New Roman" w:hAnsi="Times New Roman"/>
          <w:b/>
          <w:sz w:val="28"/>
          <w:szCs w:val="24"/>
        </w:rPr>
        <w:t xml:space="preserve">. Новые обязанности или ограничения </w:t>
      </w:r>
    </w:p>
    <w:p w:rsidR="0052051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 xml:space="preserve">для субъектов предпринимательской и инвестиционной деятельности  </w:t>
      </w:r>
    </w:p>
    <w:p w:rsidR="0052051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 xml:space="preserve">либо изменение содержания существующих обязанностей и ограничений,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а также порядок организации их исполнения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B3668" w:rsidRPr="00BB3668" w:rsidTr="00F70A79">
        <w:tc>
          <w:tcPr>
            <w:tcW w:w="3284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</w:t>
            </w:r>
            <w:r w:rsidR="008715C5" w:rsidRPr="00BB366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3285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10</w:t>
            </w:r>
            <w:r w:rsidR="00520515" w:rsidRPr="00BB3668">
              <w:rPr>
                <w:rFonts w:ascii="Times New Roman" w:hAnsi="Times New Roman"/>
                <w:sz w:val="24"/>
                <w:szCs w:val="24"/>
              </w:rPr>
              <w:t>.2. Описание новых или изменений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 xml:space="preserve"> содержания существующих обязанностей и ограничений</w:t>
            </w:r>
          </w:p>
        </w:tc>
        <w:tc>
          <w:tcPr>
            <w:tcW w:w="3285" w:type="dxa"/>
          </w:tcPr>
          <w:p w:rsidR="0005694B" w:rsidRPr="00BB3668" w:rsidRDefault="0005694B" w:rsidP="0052051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10.3. Порядок организации исполнения обязанностей </w:t>
            </w:r>
            <w:r w:rsidR="00C16155" w:rsidRPr="00BB366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и ограничений</w:t>
            </w:r>
          </w:p>
        </w:tc>
      </w:tr>
      <w:tr w:rsidR="00BB3668" w:rsidRPr="00BB3668" w:rsidTr="008F7CB9">
        <w:trPr>
          <w:trHeight w:val="1124"/>
        </w:trPr>
        <w:tc>
          <w:tcPr>
            <w:tcW w:w="3284" w:type="dxa"/>
            <w:vMerge w:val="restart"/>
          </w:tcPr>
          <w:p w:rsidR="00151592" w:rsidRPr="00BB3668" w:rsidRDefault="00151592" w:rsidP="00B244B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негосударственные (немуниципальные) организации, индивидуальные предприниматели, а также социально ориентированные некоммерческие организации, осуществляющие услуги по организации летнего отдыха.</w:t>
            </w:r>
          </w:p>
        </w:tc>
        <w:tc>
          <w:tcPr>
            <w:tcW w:w="3285" w:type="dxa"/>
          </w:tcPr>
          <w:p w:rsidR="00151592" w:rsidRPr="00BB3668" w:rsidRDefault="00151592" w:rsidP="0015159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Направление в уполномоченную организацию заявок на авансирование </w:t>
            </w:r>
          </w:p>
        </w:tc>
        <w:tc>
          <w:tcPr>
            <w:tcW w:w="3285" w:type="dxa"/>
          </w:tcPr>
          <w:p w:rsidR="00151592" w:rsidRPr="00BB3668" w:rsidRDefault="00151592" w:rsidP="0015159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Поставщик услуг по организации летнего отдыха не позднее второго рабочего дня текущего летнего месяца, формирует и направляет в уполномоченную организацию счет на авансирование и реестр договоров, по которым запрашивается авансирование. </w:t>
            </w:r>
          </w:p>
        </w:tc>
      </w:tr>
      <w:tr w:rsidR="00BB3668" w:rsidRPr="00BB3668" w:rsidTr="008F7CB9">
        <w:trPr>
          <w:trHeight w:val="1124"/>
        </w:trPr>
        <w:tc>
          <w:tcPr>
            <w:tcW w:w="3284" w:type="dxa"/>
            <w:vMerge/>
          </w:tcPr>
          <w:p w:rsidR="00151592" w:rsidRPr="00BB3668" w:rsidRDefault="00151592" w:rsidP="00B244B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151592" w:rsidRPr="00BB3668" w:rsidRDefault="00151592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Направление в уполномоченную организацию документов для возмещения затрат</w:t>
            </w:r>
          </w:p>
        </w:tc>
        <w:tc>
          <w:tcPr>
            <w:tcW w:w="3285" w:type="dxa"/>
          </w:tcPr>
          <w:p w:rsidR="00151592" w:rsidRPr="00BB3668" w:rsidRDefault="00151592" w:rsidP="0015159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Поставщик услуг по организации летнего отдыха не позднее второго рабочего дня месяца, следующего за отчетным месяцем, направляет в уполномоченную организацию акт об оказании услуг, счет на оплату оказанных услуг и реестр договоров за отчетный месяц.</w:t>
            </w:r>
          </w:p>
        </w:tc>
      </w:tr>
      <w:tr w:rsidR="00BB3668" w:rsidRPr="00BB3668" w:rsidTr="008F7CB9">
        <w:trPr>
          <w:trHeight w:val="1124"/>
        </w:trPr>
        <w:tc>
          <w:tcPr>
            <w:tcW w:w="3284" w:type="dxa"/>
            <w:vMerge/>
          </w:tcPr>
          <w:p w:rsidR="00151592" w:rsidRPr="00BB3668" w:rsidRDefault="00151592" w:rsidP="00B244B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151592" w:rsidRPr="00BB3668" w:rsidRDefault="00D6185B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Направление документов для включения в реестр организаций отдыха детей и их оздоровления, осуществляющих деятельность в муниципальном образовании город Нижневартовск</w:t>
            </w:r>
          </w:p>
        </w:tc>
        <w:tc>
          <w:tcPr>
            <w:tcW w:w="3285" w:type="dxa"/>
          </w:tcPr>
          <w:p w:rsidR="00151592" w:rsidRPr="00BB3668" w:rsidRDefault="00D6185B" w:rsidP="00D6185B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Поставщик услуг по организации летнего отдыха, </w:t>
            </w:r>
            <w:r w:rsidR="00F42881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подает заявление и паспорт организаций отдыха детей и их оздоровления, действующих в Ханты-Мансийском автономном округе – Югре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 позднее 20 января 2019 года в департамента по социаль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ной политике администрации города Нижневартовска</w:t>
            </w:r>
            <w:r w:rsidR="00F42881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BB3668" w:rsidRPr="00BB3668" w:rsidTr="008F7CB9">
        <w:trPr>
          <w:trHeight w:val="1124"/>
        </w:trPr>
        <w:tc>
          <w:tcPr>
            <w:tcW w:w="3284" w:type="dxa"/>
            <w:vMerge/>
          </w:tcPr>
          <w:p w:rsidR="00151592" w:rsidRPr="00BB3668" w:rsidRDefault="00151592" w:rsidP="00B244B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151592" w:rsidRPr="00BB3668" w:rsidRDefault="00306489" w:rsidP="0030648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Направление документов для включения в реестр поставщиков услуг по организации летнего отдыха</w:t>
            </w:r>
          </w:p>
        </w:tc>
        <w:tc>
          <w:tcPr>
            <w:tcW w:w="3285" w:type="dxa"/>
          </w:tcPr>
          <w:p w:rsidR="00151592" w:rsidRPr="00BB3668" w:rsidRDefault="00306489" w:rsidP="000356F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Поставщик услуг по организации летнего отдыха подает заявление и пакет документов в уполномоченную организацию с 01 по 15 февраля 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года.</w:t>
            </w:r>
          </w:p>
        </w:tc>
      </w:tr>
      <w:tr w:rsidR="00BB3668" w:rsidRPr="00BB3668" w:rsidTr="00BB3668">
        <w:trPr>
          <w:trHeight w:val="1124"/>
        </w:trPr>
        <w:tc>
          <w:tcPr>
            <w:tcW w:w="3284" w:type="dxa"/>
            <w:vMerge/>
          </w:tcPr>
          <w:p w:rsidR="00151592" w:rsidRPr="00BB3668" w:rsidRDefault="00151592" w:rsidP="00BB3668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151592" w:rsidRPr="00BB3668" w:rsidRDefault="007F613D" w:rsidP="007F613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Направление в департамент образования новых сведений, с приложением копий документов, подтверждающих изменения, для внесения изменений в реестр поставщиков услуг по организации летнего отдыха</w:t>
            </w:r>
          </w:p>
        </w:tc>
        <w:tc>
          <w:tcPr>
            <w:tcW w:w="3285" w:type="dxa"/>
          </w:tcPr>
          <w:p w:rsidR="00151592" w:rsidRPr="00BB3668" w:rsidRDefault="007F613D" w:rsidP="007F613D">
            <w:pPr>
              <w:widowControl w:val="0"/>
              <w:ind w:right="-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случае изменения сведений или документов, поставщик услуг по организации летнего отдыха в течение 3 рабочих дней с даты наступления этих изменений.</w:t>
            </w:r>
          </w:p>
        </w:tc>
      </w:tr>
      <w:tr w:rsidR="00151592" w:rsidRPr="00BB3668" w:rsidTr="008F7CB9">
        <w:trPr>
          <w:trHeight w:val="1124"/>
        </w:trPr>
        <w:tc>
          <w:tcPr>
            <w:tcW w:w="3284" w:type="dxa"/>
            <w:vMerge/>
          </w:tcPr>
          <w:p w:rsidR="00151592" w:rsidRPr="00BB3668" w:rsidRDefault="00151592" w:rsidP="00B244B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85" w:type="dxa"/>
          </w:tcPr>
          <w:p w:rsidR="00151592" w:rsidRPr="00BB3668" w:rsidRDefault="007F613D" w:rsidP="007F613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Ограничения по исключению поставщика услуг по организации летнего отдыха из реестра </w:t>
            </w:r>
            <w:r w:rsidRPr="00BB366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поставщиков услуг по организации летнего отдыха</w:t>
            </w:r>
          </w:p>
        </w:tc>
        <w:tc>
          <w:tcPr>
            <w:tcW w:w="3285" w:type="dxa"/>
          </w:tcPr>
          <w:p w:rsidR="00151592" w:rsidRPr="00BB3668" w:rsidRDefault="007F613D" w:rsidP="007F613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Если на момент подачи уведомления об исключении из Реестра у поставщика имеются заключенные и действующие договоры о предоставлении услуг по организации летнего отдыха, для возмещения затрат по которым используются сертификаты летнего отдыха.</w:t>
            </w: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520515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  <w:lang w:val="en-US"/>
        </w:rPr>
        <w:t>XI</w:t>
      </w:r>
      <w:r w:rsidRPr="00BB3668">
        <w:rPr>
          <w:rFonts w:ascii="Times New Roman" w:hAnsi="Times New Roman"/>
          <w:b/>
          <w:sz w:val="28"/>
          <w:szCs w:val="24"/>
        </w:rPr>
        <w:t>. Оценка рис</w:t>
      </w:r>
      <w:r w:rsidR="00520515" w:rsidRPr="00BB3668">
        <w:rPr>
          <w:rFonts w:ascii="Times New Roman" w:hAnsi="Times New Roman"/>
          <w:b/>
          <w:sz w:val="28"/>
          <w:szCs w:val="24"/>
        </w:rPr>
        <w:t>к</w:t>
      </w:r>
      <w:r w:rsidRPr="00BB3668">
        <w:rPr>
          <w:rFonts w:ascii="Times New Roman" w:hAnsi="Times New Roman"/>
          <w:b/>
          <w:sz w:val="28"/>
          <w:szCs w:val="24"/>
        </w:rPr>
        <w:t xml:space="preserve">ов неблагоприятных последствий применения  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предлагаемого правового регулирования</w:t>
      </w:r>
    </w:p>
    <w:p w:rsidR="00520515" w:rsidRPr="00BB3668" w:rsidRDefault="0052051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7"/>
        <w:gridCol w:w="2811"/>
        <w:gridCol w:w="2511"/>
        <w:gridCol w:w="2335"/>
      </w:tblGrid>
      <w:tr w:rsidR="00BB3668" w:rsidRPr="00BB3668" w:rsidTr="00571AD5">
        <w:tc>
          <w:tcPr>
            <w:tcW w:w="2197" w:type="dxa"/>
          </w:tcPr>
          <w:p w:rsidR="0005694B" w:rsidRPr="00BB3668" w:rsidRDefault="0005694B" w:rsidP="0052051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11.1. Виды рисков </w:t>
            </w:r>
          </w:p>
        </w:tc>
        <w:tc>
          <w:tcPr>
            <w:tcW w:w="2811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511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11.3. Методы контроля рисков</w:t>
            </w:r>
          </w:p>
        </w:tc>
        <w:tc>
          <w:tcPr>
            <w:tcW w:w="2335" w:type="dxa"/>
          </w:tcPr>
          <w:p w:rsidR="0005694B" w:rsidRPr="00BB3668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11.4. Степень контроля рисков</w:t>
            </w:r>
            <w:r w:rsidR="008715C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(полный/частичный)</w:t>
            </w:r>
          </w:p>
        </w:tc>
      </w:tr>
      <w:tr w:rsidR="00BB3668" w:rsidRPr="00BB3668" w:rsidTr="00571AD5">
        <w:tc>
          <w:tcPr>
            <w:tcW w:w="2197" w:type="dxa"/>
          </w:tcPr>
          <w:p w:rsidR="00ED4596" w:rsidRPr="00BB3668" w:rsidRDefault="00ED4596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неблагоприятные последствия от принятого данного документа не предвидятся</w:t>
            </w:r>
          </w:p>
          <w:p w:rsidR="00C94210" w:rsidRPr="00BB3668" w:rsidRDefault="00C94210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11" w:type="dxa"/>
          </w:tcPr>
          <w:p w:rsidR="00ED4596" w:rsidRPr="00BB3668" w:rsidRDefault="00ED4596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риски не прогнозируются</w:t>
            </w:r>
          </w:p>
        </w:tc>
        <w:tc>
          <w:tcPr>
            <w:tcW w:w="2511" w:type="dxa"/>
          </w:tcPr>
          <w:p w:rsidR="00ED4596" w:rsidRPr="00BB3668" w:rsidRDefault="00ED4596" w:rsidP="00ED4596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количественный и качественный анализ возможных рисков</w:t>
            </w:r>
          </w:p>
        </w:tc>
        <w:tc>
          <w:tcPr>
            <w:tcW w:w="2335" w:type="dxa"/>
          </w:tcPr>
          <w:p w:rsidR="00ED4596" w:rsidRPr="00BB3668" w:rsidRDefault="00ED4596" w:rsidP="00ED459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полный</w:t>
            </w:r>
          </w:p>
        </w:tc>
      </w:tr>
      <w:tr w:rsidR="00ED4596" w:rsidRPr="00BB3668" w:rsidTr="00F70A79">
        <w:tc>
          <w:tcPr>
            <w:tcW w:w="9854" w:type="dxa"/>
            <w:gridSpan w:val="4"/>
          </w:tcPr>
          <w:p w:rsidR="00ED4596" w:rsidRPr="00BB3668" w:rsidRDefault="00ED4596" w:rsidP="00ED4596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Источники данных: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образования администрации города Нижневартовска</w:t>
            </w:r>
          </w:p>
          <w:p w:rsidR="00ED4596" w:rsidRPr="00BB3668" w:rsidRDefault="00ED4596" w:rsidP="00ED4596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05694B" w:rsidRPr="00BB3668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  <w:lang w:val="en-US"/>
        </w:rPr>
        <w:t>XII</w:t>
      </w:r>
      <w:r w:rsidRPr="00BB3668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C16155" w:rsidRPr="00BB3668" w:rsidRDefault="00C1615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18"/>
        <w:gridCol w:w="790"/>
        <w:gridCol w:w="1430"/>
        <w:gridCol w:w="2822"/>
      </w:tblGrid>
      <w:tr w:rsidR="00BB3668" w:rsidRPr="00BB3668" w:rsidTr="00C16155">
        <w:trPr>
          <w:trHeight w:val="1110"/>
        </w:trPr>
        <w:tc>
          <w:tcPr>
            <w:tcW w:w="2229" w:type="dxa"/>
            <w:shd w:val="clear" w:color="auto" w:fill="auto"/>
          </w:tcPr>
          <w:p w:rsidR="0005694B" w:rsidRPr="00BB3668" w:rsidRDefault="0005694B" w:rsidP="008715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BB36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.1. Цели предлагаемого регулирования</w:t>
            </w:r>
            <w:r w:rsidRPr="00BB366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.2. Индикативные показатели (ед. 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5694B" w:rsidRPr="00BB3668" w:rsidRDefault="0005694B" w:rsidP="008715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</w:t>
            </w:r>
            <w:r w:rsidRPr="00BB36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B3668">
              <w:rPr>
                <w:rFonts w:ascii="Times New Roman" w:hAnsi="Times New Roman"/>
                <w:sz w:val="24"/>
                <w:szCs w:val="24"/>
              </w:rPr>
              <w:t>.3. Способы расчета индикативных показателей</w:t>
            </w:r>
          </w:p>
        </w:tc>
        <w:tc>
          <w:tcPr>
            <w:tcW w:w="2822" w:type="dxa"/>
            <w:shd w:val="clear" w:color="auto" w:fill="auto"/>
          </w:tcPr>
          <w:p w:rsidR="0005694B" w:rsidRPr="00BB3668" w:rsidRDefault="0005694B" w:rsidP="00615CB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 xml:space="preserve">12.4. </w:t>
            </w:r>
            <w:r w:rsidR="00615CB7" w:rsidRPr="00BB3668">
              <w:rPr>
                <w:rFonts w:ascii="Times New Roman" w:hAnsi="Times New Roman"/>
                <w:sz w:val="24"/>
                <w:szCs w:val="24"/>
              </w:rPr>
              <w:t>Целевые значения индикативных показателей по годам</w:t>
            </w:r>
          </w:p>
        </w:tc>
      </w:tr>
      <w:tr w:rsidR="00BB3668" w:rsidRPr="00BB3668" w:rsidTr="00C16155">
        <w:trPr>
          <w:trHeight w:val="556"/>
        </w:trPr>
        <w:tc>
          <w:tcPr>
            <w:tcW w:w="2229" w:type="dxa"/>
            <w:shd w:val="clear" w:color="auto" w:fill="auto"/>
          </w:tcPr>
          <w:p w:rsidR="00BA439F" w:rsidRPr="00BB3668" w:rsidRDefault="00151592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овышени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="002A34E5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доступности и качества предоставляемых услуг в сфере организации отдыха детей.</w:t>
            </w:r>
          </w:p>
        </w:tc>
        <w:tc>
          <w:tcPr>
            <w:tcW w:w="2618" w:type="dxa"/>
            <w:shd w:val="clear" w:color="auto" w:fill="auto"/>
          </w:tcPr>
          <w:p w:rsidR="00615CB7" w:rsidRPr="00BB3668" w:rsidRDefault="00C34C00" w:rsidP="00E43FA4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количество сертификатов летнего отдыха</w:t>
            </w:r>
            <w:r w:rsidR="00E43FA4" w:rsidRPr="00BB3668">
              <w:rPr>
                <w:rFonts w:ascii="Times New Roman" w:hAnsi="Times New Roman"/>
                <w:sz w:val="24"/>
                <w:szCs w:val="24"/>
                <w:u w:val="single"/>
              </w:rPr>
              <w:t>, обеспечиваемых за счет средств бюджета города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Нижневартовск</w:t>
            </w:r>
            <w:r w:rsidR="00E43FA4" w:rsidRPr="00BB3668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43FA4" w:rsidRPr="00BB3668">
              <w:rPr>
                <w:rFonts w:ascii="Times New Roman" w:hAnsi="Times New Roman"/>
                <w:sz w:val="24"/>
                <w:szCs w:val="24"/>
                <w:u w:val="single"/>
              </w:rPr>
              <w:t>(ед.)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615CB7" w:rsidRPr="00BB3668" w:rsidRDefault="00ED4596" w:rsidP="000E237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показателя определяется </w:t>
            </w:r>
            <w:r w:rsidR="00E43FA4"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исходя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 количества </w:t>
            </w:r>
            <w:r w:rsidR="00615CB7" w:rsidRPr="00BB3668">
              <w:rPr>
                <w:rFonts w:ascii="Times New Roman" w:hAnsi="Times New Roman"/>
                <w:sz w:val="24"/>
                <w:szCs w:val="24"/>
                <w:u w:val="single"/>
              </w:rPr>
              <w:t>выданных сертификатов</w:t>
            </w:r>
          </w:p>
          <w:p w:rsidR="00ED4596" w:rsidRPr="00BB3668" w:rsidRDefault="00ED4596" w:rsidP="000E237D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822" w:type="dxa"/>
            <w:shd w:val="clear" w:color="auto" w:fill="auto"/>
          </w:tcPr>
          <w:p w:rsidR="00ED4596" w:rsidRPr="00BB3668" w:rsidRDefault="00E43FA4" w:rsidP="000356FE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 - </w:t>
            </w:r>
            <w:r w:rsidR="000356FE">
              <w:rPr>
                <w:rFonts w:ascii="Times New Roman" w:hAnsi="Times New Roman"/>
                <w:sz w:val="24"/>
                <w:szCs w:val="24"/>
                <w:u w:val="single"/>
              </w:rPr>
              <w:t>250</w:t>
            </w:r>
          </w:p>
        </w:tc>
      </w:tr>
      <w:tr w:rsidR="00BB3668" w:rsidRPr="00BB3668" w:rsidTr="00F70A79">
        <w:tc>
          <w:tcPr>
            <w:tcW w:w="9889" w:type="dxa"/>
            <w:gridSpan w:val="5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12.5. Информация о мониторинге и иных способах (методах) оценки достижения заявленных целей регулирования:</w:t>
            </w:r>
          </w:p>
          <w:p w:rsidR="0005694B" w:rsidRPr="00BB3668" w:rsidRDefault="00322A3A" w:rsidP="00BC12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27144D" w:rsidRPr="00BB3668">
              <w:rPr>
                <w:rFonts w:ascii="Times New Roman" w:hAnsi="Times New Roman"/>
                <w:sz w:val="24"/>
                <w:szCs w:val="24"/>
                <w:u w:val="single"/>
              </w:rPr>
              <w:t>ценка достижения заявленной цели осуществляется путем ежегодных подсчетов показателей департаментом образования администрации гор</w:t>
            </w:r>
            <w:r w:rsidR="00B5267F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="0027144D" w:rsidRPr="00BB3668">
              <w:rPr>
                <w:rFonts w:ascii="Times New Roman" w:hAnsi="Times New Roman"/>
                <w:sz w:val="24"/>
                <w:szCs w:val="24"/>
                <w:u w:val="single"/>
              </w:rPr>
              <w:t>да.</w:t>
            </w:r>
          </w:p>
        </w:tc>
      </w:tr>
      <w:tr w:rsidR="00BB3668" w:rsidRPr="00BB3668" w:rsidTr="00F70A79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05694B" w:rsidRPr="00BB3668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12.6. Оценка затрат на осуществление мониторинга (в среднем в год)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5694B" w:rsidRPr="00BB3668" w:rsidRDefault="003F4E7D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Затраты отсутствуют.</w:t>
            </w:r>
          </w:p>
        </w:tc>
      </w:tr>
      <w:tr w:rsidR="0005694B" w:rsidRPr="00BB3668" w:rsidTr="00F70A79">
        <w:tc>
          <w:tcPr>
            <w:tcW w:w="9889" w:type="dxa"/>
            <w:gridSpan w:val="5"/>
            <w:shd w:val="clear" w:color="auto" w:fill="auto"/>
          </w:tcPr>
          <w:p w:rsidR="007551DF" w:rsidRPr="00BB3668" w:rsidRDefault="0005694B" w:rsidP="00BC12C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12.7. Описание источников информации для расчета показателей (индикаторов):</w:t>
            </w:r>
            <w:r w:rsidR="00BC12CF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BB3668" w:rsidRDefault="003F4E7D" w:rsidP="000356F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Отчетные данные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оказывающих услуги по</w:t>
            </w:r>
            <w:r w:rsidRPr="00BB3668">
              <w:rPr>
                <w:u w:val="single"/>
              </w:rPr>
              <w:t xml:space="preserve"> </w:t>
            </w:r>
            <w:r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организации отдыха и оздоровления детей в организациях отдыха и оздоровления детей города Нижневартовска</w:t>
            </w:r>
            <w:r w:rsidR="005A03D0" w:rsidRPr="00BB366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7551DF" w:rsidRPr="00BB3668" w:rsidRDefault="007551DF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302F4B" w:rsidRPr="00BB3668" w:rsidRDefault="00302F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  <w:lang w:val="en-US"/>
        </w:rPr>
        <w:t>XIII</w:t>
      </w:r>
      <w:r w:rsidRPr="00BB3668">
        <w:rPr>
          <w:rFonts w:ascii="Times New Roman" w:hAnsi="Times New Roman"/>
          <w:b/>
          <w:sz w:val="28"/>
          <w:szCs w:val="24"/>
        </w:rPr>
        <w:t>. Иные сведения, которые, по мнению регулирующего органа,</w:t>
      </w:r>
    </w:p>
    <w:p w:rsidR="0005694B" w:rsidRPr="00BB3668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BB3668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520515" w:rsidRPr="00BB3668" w:rsidRDefault="0052051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3668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520515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13</w:t>
            </w:r>
            <w:r w:rsidR="0005694B" w:rsidRPr="00BB3668">
              <w:rPr>
                <w:rFonts w:ascii="Times New Roman" w:hAnsi="Times New Roman"/>
                <w:sz w:val="24"/>
                <w:szCs w:val="24"/>
              </w:rPr>
              <w:t>.1. Иные необходимые, по мнению разработчика проекта муниципального нормативного правового акта, сведения:</w:t>
            </w:r>
            <w:r w:rsidR="00571AD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AD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  <w:p w:rsidR="0005694B" w:rsidRPr="00BB3668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694B" w:rsidRPr="00BB3668" w:rsidTr="00F70A79">
        <w:tc>
          <w:tcPr>
            <w:tcW w:w="9889" w:type="dxa"/>
            <w:shd w:val="clear" w:color="auto" w:fill="auto"/>
          </w:tcPr>
          <w:p w:rsidR="0005694B" w:rsidRPr="00BB3668" w:rsidRDefault="00520515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668">
              <w:rPr>
                <w:rFonts w:ascii="Times New Roman" w:hAnsi="Times New Roman"/>
                <w:sz w:val="24"/>
                <w:szCs w:val="24"/>
              </w:rPr>
              <w:t>13</w:t>
            </w:r>
            <w:r w:rsidR="0005694B" w:rsidRPr="00BB3668">
              <w:rPr>
                <w:rFonts w:ascii="Times New Roman" w:hAnsi="Times New Roman"/>
                <w:sz w:val="24"/>
                <w:szCs w:val="24"/>
              </w:rPr>
              <w:t>.2. Источники данных:</w:t>
            </w:r>
            <w:r w:rsidR="00571AD5" w:rsidRPr="00BB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AD5" w:rsidRPr="00BB3668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  <w:p w:rsidR="0005694B" w:rsidRPr="00BB3668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694B" w:rsidRPr="00BB3668" w:rsidRDefault="0005694B" w:rsidP="00033B4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5CB7" w:rsidRPr="00BB3668" w:rsidRDefault="00615CB7" w:rsidP="00033B4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5CB7" w:rsidRPr="00BB3668" w:rsidRDefault="00615CB7" w:rsidP="00033B4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15CB7" w:rsidRPr="00BB3668" w:rsidRDefault="00F87895" w:rsidP="00F87895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3668">
        <w:rPr>
          <w:rFonts w:ascii="Times New Roman" w:hAnsi="Times New Roman"/>
          <w:sz w:val="24"/>
          <w:szCs w:val="24"/>
        </w:rPr>
        <w:t xml:space="preserve">Директор департамента образования                                                                           </w:t>
      </w:r>
      <w:r w:rsidR="00615CB7" w:rsidRPr="00BB3668">
        <w:rPr>
          <w:rFonts w:ascii="Times New Roman" w:hAnsi="Times New Roman"/>
          <w:sz w:val="24"/>
          <w:szCs w:val="24"/>
        </w:rPr>
        <w:t>Э.В. Игошин</w:t>
      </w:r>
    </w:p>
    <w:sectPr w:rsidR="00615CB7" w:rsidRPr="00BB3668" w:rsidSect="00A66751">
      <w:headerReference w:type="firs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C4" w:rsidRDefault="00D318C4" w:rsidP="00A14D14">
      <w:pPr>
        <w:spacing w:after="0" w:line="240" w:lineRule="auto"/>
      </w:pPr>
      <w:r>
        <w:separator/>
      </w:r>
    </w:p>
  </w:endnote>
  <w:endnote w:type="continuationSeparator" w:id="0">
    <w:p w:rsidR="00D318C4" w:rsidRDefault="00D318C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C4" w:rsidRDefault="00D318C4" w:rsidP="00A14D14">
      <w:pPr>
        <w:spacing w:after="0" w:line="240" w:lineRule="auto"/>
      </w:pPr>
      <w:r>
        <w:separator/>
      </w:r>
    </w:p>
  </w:footnote>
  <w:footnote w:type="continuationSeparator" w:id="0">
    <w:p w:rsidR="00D318C4" w:rsidRDefault="00D318C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202055"/>
      <w:docPartObj>
        <w:docPartGallery w:val="Page Numbers (Top of Page)"/>
        <w:docPartUnique/>
      </w:docPartObj>
    </w:sdtPr>
    <w:sdtEndPr/>
    <w:sdtContent>
      <w:p w:rsidR="00F33DE7" w:rsidRDefault="00F33DE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3DE7" w:rsidRDefault="00F33D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04591"/>
    <w:rsid w:val="00012E8F"/>
    <w:rsid w:val="00015F2D"/>
    <w:rsid w:val="00017B9F"/>
    <w:rsid w:val="00020662"/>
    <w:rsid w:val="0002072B"/>
    <w:rsid w:val="000254D3"/>
    <w:rsid w:val="00033B4E"/>
    <w:rsid w:val="000356FE"/>
    <w:rsid w:val="00040D7D"/>
    <w:rsid w:val="00051B14"/>
    <w:rsid w:val="00053FF7"/>
    <w:rsid w:val="0005694B"/>
    <w:rsid w:val="00056EF9"/>
    <w:rsid w:val="00065513"/>
    <w:rsid w:val="00073212"/>
    <w:rsid w:val="000738BA"/>
    <w:rsid w:val="00086C03"/>
    <w:rsid w:val="000B469F"/>
    <w:rsid w:val="000E237D"/>
    <w:rsid w:val="000F1587"/>
    <w:rsid w:val="000F25CE"/>
    <w:rsid w:val="000F4945"/>
    <w:rsid w:val="00100F21"/>
    <w:rsid w:val="001015BF"/>
    <w:rsid w:val="00102CBB"/>
    <w:rsid w:val="00113468"/>
    <w:rsid w:val="00113512"/>
    <w:rsid w:val="00115885"/>
    <w:rsid w:val="0011660C"/>
    <w:rsid w:val="001203EC"/>
    <w:rsid w:val="00123507"/>
    <w:rsid w:val="001262D4"/>
    <w:rsid w:val="00135AF4"/>
    <w:rsid w:val="00136485"/>
    <w:rsid w:val="00143641"/>
    <w:rsid w:val="00151592"/>
    <w:rsid w:val="0015448F"/>
    <w:rsid w:val="00155599"/>
    <w:rsid w:val="00156503"/>
    <w:rsid w:val="001667D1"/>
    <w:rsid w:val="001727B9"/>
    <w:rsid w:val="001754E4"/>
    <w:rsid w:val="0018371A"/>
    <w:rsid w:val="00195AE6"/>
    <w:rsid w:val="00196A2D"/>
    <w:rsid w:val="00196C23"/>
    <w:rsid w:val="001A02B5"/>
    <w:rsid w:val="001A5CCB"/>
    <w:rsid w:val="001B14E8"/>
    <w:rsid w:val="001B25B8"/>
    <w:rsid w:val="001B45C8"/>
    <w:rsid w:val="001B792B"/>
    <w:rsid w:val="001C4AC1"/>
    <w:rsid w:val="001D0D54"/>
    <w:rsid w:val="001E33E9"/>
    <w:rsid w:val="001E3493"/>
    <w:rsid w:val="001E45AD"/>
    <w:rsid w:val="001F4042"/>
    <w:rsid w:val="001F5929"/>
    <w:rsid w:val="001F7D6E"/>
    <w:rsid w:val="002006D2"/>
    <w:rsid w:val="00213AC4"/>
    <w:rsid w:val="002146C4"/>
    <w:rsid w:val="00231711"/>
    <w:rsid w:val="0024526F"/>
    <w:rsid w:val="00246129"/>
    <w:rsid w:val="00251BF7"/>
    <w:rsid w:val="00253EFA"/>
    <w:rsid w:val="0025433B"/>
    <w:rsid w:val="00254AEA"/>
    <w:rsid w:val="00270529"/>
    <w:rsid w:val="0027144D"/>
    <w:rsid w:val="00275C41"/>
    <w:rsid w:val="00282CF8"/>
    <w:rsid w:val="00285AE2"/>
    <w:rsid w:val="00286809"/>
    <w:rsid w:val="00287E6A"/>
    <w:rsid w:val="00293B3A"/>
    <w:rsid w:val="0029412B"/>
    <w:rsid w:val="002A0696"/>
    <w:rsid w:val="002A17D8"/>
    <w:rsid w:val="002A2CA3"/>
    <w:rsid w:val="002A34E5"/>
    <w:rsid w:val="002A4A3F"/>
    <w:rsid w:val="002B0BCD"/>
    <w:rsid w:val="002C0DB5"/>
    <w:rsid w:val="002C57C8"/>
    <w:rsid w:val="002C6FC0"/>
    <w:rsid w:val="002C75C4"/>
    <w:rsid w:val="002E6B20"/>
    <w:rsid w:val="002E72BF"/>
    <w:rsid w:val="00302F4B"/>
    <w:rsid w:val="00306489"/>
    <w:rsid w:val="00306881"/>
    <w:rsid w:val="0031561F"/>
    <w:rsid w:val="0031681A"/>
    <w:rsid w:val="00322A3A"/>
    <w:rsid w:val="003345D3"/>
    <w:rsid w:val="00337362"/>
    <w:rsid w:val="003560B5"/>
    <w:rsid w:val="00356826"/>
    <w:rsid w:val="00370BC0"/>
    <w:rsid w:val="00381E05"/>
    <w:rsid w:val="003925AF"/>
    <w:rsid w:val="00393018"/>
    <w:rsid w:val="00393485"/>
    <w:rsid w:val="00396085"/>
    <w:rsid w:val="003A3500"/>
    <w:rsid w:val="003A4F69"/>
    <w:rsid w:val="003C1036"/>
    <w:rsid w:val="003C1D05"/>
    <w:rsid w:val="003C45D0"/>
    <w:rsid w:val="003E37C7"/>
    <w:rsid w:val="003E4D86"/>
    <w:rsid w:val="003E5A8E"/>
    <w:rsid w:val="003F1D6C"/>
    <w:rsid w:val="003F4E7D"/>
    <w:rsid w:val="00442CAA"/>
    <w:rsid w:val="00450F48"/>
    <w:rsid w:val="004562C3"/>
    <w:rsid w:val="00457F19"/>
    <w:rsid w:val="00461903"/>
    <w:rsid w:val="004676A0"/>
    <w:rsid w:val="0047601E"/>
    <w:rsid w:val="004842E4"/>
    <w:rsid w:val="004874E0"/>
    <w:rsid w:val="00493AC6"/>
    <w:rsid w:val="00495E2C"/>
    <w:rsid w:val="00497469"/>
    <w:rsid w:val="00497A6A"/>
    <w:rsid w:val="004A3164"/>
    <w:rsid w:val="004B56BF"/>
    <w:rsid w:val="004B6B92"/>
    <w:rsid w:val="004C3E00"/>
    <w:rsid w:val="004C6A29"/>
    <w:rsid w:val="004D00B7"/>
    <w:rsid w:val="004D095A"/>
    <w:rsid w:val="004E226F"/>
    <w:rsid w:val="004E6465"/>
    <w:rsid w:val="004F7FCD"/>
    <w:rsid w:val="005060E8"/>
    <w:rsid w:val="00507DD4"/>
    <w:rsid w:val="0051720D"/>
    <w:rsid w:val="00520515"/>
    <w:rsid w:val="0052351B"/>
    <w:rsid w:val="00550A71"/>
    <w:rsid w:val="00551805"/>
    <w:rsid w:val="00553D45"/>
    <w:rsid w:val="00555055"/>
    <w:rsid w:val="0056096F"/>
    <w:rsid w:val="005636DB"/>
    <w:rsid w:val="00566EE0"/>
    <w:rsid w:val="00571AD5"/>
    <w:rsid w:val="005840F8"/>
    <w:rsid w:val="005857F7"/>
    <w:rsid w:val="00586752"/>
    <w:rsid w:val="005A03D0"/>
    <w:rsid w:val="005A4B41"/>
    <w:rsid w:val="005B2576"/>
    <w:rsid w:val="005B36CC"/>
    <w:rsid w:val="005B4C96"/>
    <w:rsid w:val="005B71D5"/>
    <w:rsid w:val="005B7FBB"/>
    <w:rsid w:val="005C54AB"/>
    <w:rsid w:val="005E2E4D"/>
    <w:rsid w:val="005F5B31"/>
    <w:rsid w:val="00605EB5"/>
    <w:rsid w:val="00607CA8"/>
    <w:rsid w:val="00610D80"/>
    <w:rsid w:val="00615CB7"/>
    <w:rsid w:val="00627E7B"/>
    <w:rsid w:val="00642C1F"/>
    <w:rsid w:val="0064696A"/>
    <w:rsid w:val="00663FAB"/>
    <w:rsid w:val="00665FC9"/>
    <w:rsid w:val="00681107"/>
    <w:rsid w:val="006A6CA3"/>
    <w:rsid w:val="006E0472"/>
    <w:rsid w:val="006E2A03"/>
    <w:rsid w:val="006E2FC2"/>
    <w:rsid w:val="006E72CA"/>
    <w:rsid w:val="006F55A5"/>
    <w:rsid w:val="007039A6"/>
    <w:rsid w:val="00710EE5"/>
    <w:rsid w:val="007157B5"/>
    <w:rsid w:val="00715D10"/>
    <w:rsid w:val="007202FB"/>
    <w:rsid w:val="0072725B"/>
    <w:rsid w:val="00740879"/>
    <w:rsid w:val="00742D20"/>
    <w:rsid w:val="00746E61"/>
    <w:rsid w:val="0074745C"/>
    <w:rsid w:val="00747545"/>
    <w:rsid w:val="00747ED6"/>
    <w:rsid w:val="007551DF"/>
    <w:rsid w:val="007570B2"/>
    <w:rsid w:val="00757C01"/>
    <w:rsid w:val="00770301"/>
    <w:rsid w:val="0077165B"/>
    <w:rsid w:val="007729E2"/>
    <w:rsid w:val="007758B2"/>
    <w:rsid w:val="00786948"/>
    <w:rsid w:val="00790B46"/>
    <w:rsid w:val="007972DA"/>
    <w:rsid w:val="007A4369"/>
    <w:rsid w:val="007B3866"/>
    <w:rsid w:val="007C1F8F"/>
    <w:rsid w:val="007D69D9"/>
    <w:rsid w:val="007E0087"/>
    <w:rsid w:val="007E16E4"/>
    <w:rsid w:val="007E6E9A"/>
    <w:rsid w:val="007E70B7"/>
    <w:rsid w:val="007F613D"/>
    <w:rsid w:val="0080097B"/>
    <w:rsid w:val="008029BF"/>
    <w:rsid w:val="008041B1"/>
    <w:rsid w:val="008078BE"/>
    <w:rsid w:val="008118C4"/>
    <w:rsid w:val="0081321F"/>
    <w:rsid w:val="00815DB9"/>
    <w:rsid w:val="008228EC"/>
    <w:rsid w:val="00832D3F"/>
    <w:rsid w:val="008336F6"/>
    <w:rsid w:val="00837C63"/>
    <w:rsid w:val="00865F86"/>
    <w:rsid w:val="008703C8"/>
    <w:rsid w:val="008715C5"/>
    <w:rsid w:val="00880FBF"/>
    <w:rsid w:val="00884CF7"/>
    <w:rsid w:val="00892B19"/>
    <w:rsid w:val="00894B5A"/>
    <w:rsid w:val="008A69C0"/>
    <w:rsid w:val="008B507D"/>
    <w:rsid w:val="008B5D91"/>
    <w:rsid w:val="008B6705"/>
    <w:rsid w:val="008D1084"/>
    <w:rsid w:val="008D11A3"/>
    <w:rsid w:val="008D2E9E"/>
    <w:rsid w:val="008E44B5"/>
    <w:rsid w:val="008F5E79"/>
    <w:rsid w:val="008F7CB9"/>
    <w:rsid w:val="00921896"/>
    <w:rsid w:val="00922542"/>
    <w:rsid w:val="00924905"/>
    <w:rsid w:val="0092687B"/>
    <w:rsid w:val="00937B5A"/>
    <w:rsid w:val="0094544D"/>
    <w:rsid w:val="0094582B"/>
    <w:rsid w:val="00970F15"/>
    <w:rsid w:val="009732AF"/>
    <w:rsid w:val="00983A65"/>
    <w:rsid w:val="00984EEF"/>
    <w:rsid w:val="009864CB"/>
    <w:rsid w:val="00986E8D"/>
    <w:rsid w:val="009877CA"/>
    <w:rsid w:val="009A1F0E"/>
    <w:rsid w:val="009A3CAB"/>
    <w:rsid w:val="009B0B0B"/>
    <w:rsid w:val="009B1FEB"/>
    <w:rsid w:val="009B3A07"/>
    <w:rsid w:val="009C2A41"/>
    <w:rsid w:val="009C3AAE"/>
    <w:rsid w:val="009D0631"/>
    <w:rsid w:val="009E0C97"/>
    <w:rsid w:val="009E2692"/>
    <w:rsid w:val="009E30BF"/>
    <w:rsid w:val="00A03506"/>
    <w:rsid w:val="00A14D14"/>
    <w:rsid w:val="00A15D29"/>
    <w:rsid w:val="00A17684"/>
    <w:rsid w:val="00A20890"/>
    <w:rsid w:val="00A24724"/>
    <w:rsid w:val="00A32075"/>
    <w:rsid w:val="00A334AB"/>
    <w:rsid w:val="00A42151"/>
    <w:rsid w:val="00A45668"/>
    <w:rsid w:val="00A56D8D"/>
    <w:rsid w:val="00A66751"/>
    <w:rsid w:val="00A72855"/>
    <w:rsid w:val="00A765E3"/>
    <w:rsid w:val="00A85883"/>
    <w:rsid w:val="00A86E04"/>
    <w:rsid w:val="00A96681"/>
    <w:rsid w:val="00AA7F38"/>
    <w:rsid w:val="00AB5877"/>
    <w:rsid w:val="00AB7947"/>
    <w:rsid w:val="00AC4DAD"/>
    <w:rsid w:val="00AE2287"/>
    <w:rsid w:val="00AE2BD9"/>
    <w:rsid w:val="00AE4A85"/>
    <w:rsid w:val="00AF3C68"/>
    <w:rsid w:val="00AF4999"/>
    <w:rsid w:val="00B03F6C"/>
    <w:rsid w:val="00B2026E"/>
    <w:rsid w:val="00B21B0F"/>
    <w:rsid w:val="00B244B9"/>
    <w:rsid w:val="00B36095"/>
    <w:rsid w:val="00B41806"/>
    <w:rsid w:val="00B5267F"/>
    <w:rsid w:val="00B7228D"/>
    <w:rsid w:val="00B800A3"/>
    <w:rsid w:val="00B83288"/>
    <w:rsid w:val="00BA439F"/>
    <w:rsid w:val="00BB3668"/>
    <w:rsid w:val="00BC0C18"/>
    <w:rsid w:val="00BC12CF"/>
    <w:rsid w:val="00BD1F79"/>
    <w:rsid w:val="00BD30A4"/>
    <w:rsid w:val="00BD3E64"/>
    <w:rsid w:val="00BE397B"/>
    <w:rsid w:val="00BE46FC"/>
    <w:rsid w:val="00C00ADE"/>
    <w:rsid w:val="00C12703"/>
    <w:rsid w:val="00C12B7D"/>
    <w:rsid w:val="00C1482C"/>
    <w:rsid w:val="00C16155"/>
    <w:rsid w:val="00C26DEC"/>
    <w:rsid w:val="00C346A0"/>
    <w:rsid w:val="00C34C00"/>
    <w:rsid w:val="00C35CCF"/>
    <w:rsid w:val="00C42246"/>
    <w:rsid w:val="00C53047"/>
    <w:rsid w:val="00C53CF1"/>
    <w:rsid w:val="00C57540"/>
    <w:rsid w:val="00C57550"/>
    <w:rsid w:val="00C7058D"/>
    <w:rsid w:val="00C74901"/>
    <w:rsid w:val="00C75D42"/>
    <w:rsid w:val="00C82FB3"/>
    <w:rsid w:val="00C85D90"/>
    <w:rsid w:val="00C9223A"/>
    <w:rsid w:val="00C94210"/>
    <w:rsid w:val="00CA27EB"/>
    <w:rsid w:val="00CB039C"/>
    <w:rsid w:val="00CB5AF6"/>
    <w:rsid w:val="00CB6514"/>
    <w:rsid w:val="00CB6F58"/>
    <w:rsid w:val="00CC30AA"/>
    <w:rsid w:val="00CC4262"/>
    <w:rsid w:val="00CD7E4C"/>
    <w:rsid w:val="00CE20CF"/>
    <w:rsid w:val="00CE6C40"/>
    <w:rsid w:val="00CF02BC"/>
    <w:rsid w:val="00CF3E1E"/>
    <w:rsid w:val="00CF74A5"/>
    <w:rsid w:val="00D008B0"/>
    <w:rsid w:val="00D010E9"/>
    <w:rsid w:val="00D145C3"/>
    <w:rsid w:val="00D158BE"/>
    <w:rsid w:val="00D318C4"/>
    <w:rsid w:val="00D4448C"/>
    <w:rsid w:val="00D4473D"/>
    <w:rsid w:val="00D516A3"/>
    <w:rsid w:val="00D54171"/>
    <w:rsid w:val="00D6185B"/>
    <w:rsid w:val="00D62193"/>
    <w:rsid w:val="00D742F1"/>
    <w:rsid w:val="00D7508E"/>
    <w:rsid w:val="00D93E37"/>
    <w:rsid w:val="00DA111D"/>
    <w:rsid w:val="00DA15BF"/>
    <w:rsid w:val="00DA7D99"/>
    <w:rsid w:val="00DB2A08"/>
    <w:rsid w:val="00DC0055"/>
    <w:rsid w:val="00DC2AD8"/>
    <w:rsid w:val="00DD0207"/>
    <w:rsid w:val="00DD55C4"/>
    <w:rsid w:val="00DF16A6"/>
    <w:rsid w:val="00DF3339"/>
    <w:rsid w:val="00E245B0"/>
    <w:rsid w:val="00E3367D"/>
    <w:rsid w:val="00E371D0"/>
    <w:rsid w:val="00E43FA4"/>
    <w:rsid w:val="00E521D9"/>
    <w:rsid w:val="00E53240"/>
    <w:rsid w:val="00E57E2F"/>
    <w:rsid w:val="00E72D6D"/>
    <w:rsid w:val="00E80319"/>
    <w:rsid w:val="00E80A8F"/>
    <w:rsid w:val="00E87D1D"/>
    <w:rsid w:val="00E90E8E"/>
    <w:rsid w:val="00E93E43"/>
    <w:rsid w:val="00E94753"/>
    <w:rsid w:val="00EC096B"/>
    <w:rsid w:val="00EC0E82"/>
    <w:rsid w:val="00EC5E01"/>
    <w:rsid w:val="00ED1FB5"/>
    <w:rsid w:val="00ED4596"/>
    <w:rsid w:val="00ED6810"/>
    <w:rsid w:val="00EF3904"/>
    <w:rsid w:val="00F01E5F"/>
    <w:rsid w:val="00F0711E"/>
    <w:rsid w:val="00F12776"/>
    <w:rsid w:val="00F14DFB"/>
    <w:rsid w:val="00F1666B"/>
    <w:rsid w:val="00F1741B"/>
    <w:rsid w:val="00F32344"/>
    <w:rsid w:val="00F32E15"/>
    <w:rsid w:val="00F33DE7"/>
    <w:rsid w:val="00F36CD8"/>
    <w:rsid w:val="00F42881"/>
    <w:rsid w:val="00F44D75"/>
    <w:rsid w:val="00F66C64"/>
    <w:rsid w:val="00F678CD"/>
    <w:rsid w:val="00F70A79"/>
    <w:rsid w:val="00F73900"/>
    <w:rsid w:val="00F73AAB"/>
    <w:rsid w:val="00F87895"/>
    <w:rsid w:val="00F93AB4"/>
    <w:rsid w:val="00F95072"/>
    <w:rsid w:val="00F95911"/>
    <w:rsid w:val="00FA4956"/>
    <w:rsid w:val="00FC04BE"/>
    <w:rsid w:val="00FC66B5"/>
    <w:rsid w:val="00FC6F54"/>
    <w:rsid w:val="00FD2193"/>
    <w:rsid w:val="00FD35B1"/>
    <w:rsid w:val="00FD3B7A"/>
    <w:rsid w:val="00FD690B"/>
    <w:rsid w:val="00FE0144"/>
    <w:rsid w:val="00FF17D6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2E23F-BC7F-4885-8A61-792E780D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9864C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ac">
    <w:name w:val="Hyperlink"/>
    <w:basedOn w:val="a0"/>
    <w:rsid w:val="0080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AEF3-A5A8-4211-B203-BE978A36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4005</Words>
  <Characters>22831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Зяблова Ксения Владимировна</cp:lastModifiedBy>
  <cp:revision>2</cp:revision>
  <cp:lastPrinted>2018-11-30T06:24:00Z</cp:lastPrinted>
  <dcterms:created xsi:type="dcterms:W3CDTF">2020-05-20T11:30:00Z</dcterms:created>
  <dcterms:modified xsi:type="dcterms:W3CDTF">2020-05-20T11:30:00Z</dcterms:modified>
</cp:coreProperties>
</file>