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 РАСПОРЯЖЕНИЯ</w:t>
      </w:r>
      <w:r>
        <w:rPr>
          <w:sz w:val="28"/>
          <w:szCs w:val="28"/>
        </w:rPr>
      </w:r>
      <w:r/>
    </w:p>
    <w:p>
      <w:pPr>
        <w:pStyle w:val="63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4"/>
        <w:ind w:right="4876"/>
        <w:jc w:val="both"/>
      </w:pPr>
      <w:r>
        <w:rPr>
          <w:color w:val="000000"/>
          <w:shd w:val="clear" w:color="auto" w:fill="ffffff"/>
        </w:rPr>
        <w:t xml:space="preserve">О внесении изменени</w:t>
      </w:r>
      <w:r>
        <w:rPr>
          <w:color w:val="000000"/>
          <w:shd w:val="clear" w:color="auto" w:fill="ffffff"/>
        </w:rPr>
        <w:t xml:space="preserve">й</w:t>
      </w:r>
      <w:r>
        <w:rPr>
          <w:color w:val="000000"/>
          <w:shd w:val="clear" w:color="auto" w:fill="ffffff"/>
        </w:rPr>
        <w:t xml:space="preserve"> в приложение 1 </w:t>
      </w:r>
      <w:r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        </w:t>
      </w:r>
      <w:r>
        <w:rPr>
          <w:color w:val="000000"/>
          <w:shd w:val="clear" w:color="auto" w:fill="ffffff"/>
        </w:rPr>
        <w:t xml:space="preserve">к распоряжению администрации города </w:t>
      </w:r>
      <w:r>
        <w:rPr>
          <w:color w:val="000000"/>
          <w:shd w:val="clear" w:color="auto" w:fill="ffffff"/>
        </w:rPr>
        <w:t xml:space="preserve">      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от 29.03.2016 №420-р </w:t>
      </w:r>
      <w:r>
        <w:rPr>
          <w:color w:val="000000"/>
          <w:shd w:val="clear" w:color="auto" w:fill="ffffff"/>
        </w:rPr>
        <w:t xml:space="preserve">«</w:t>
      </w:r>
      <w:r>
        <w:rPr>
          <w:color w:val="000000"/>
          <w:shd w:val="clear" w:color="auto" w:fill="ffffff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города Нижневартовска»</w:t>
      </w:r>
      <w:r>
        <w:rPr>
          <w:color w:val="000000"/>
          <w:shd w:val="clear" w:color="auto" w:fill="ffffff"/>
        </w:rPr>
        <w:t xml:space="preserve"> (с изменениями </w:t>
      </w:r>
      <w:r>
        <w:rPr>
          <w:color w:val="000000"/>
          <w:shd w:val="clear" w:color="auto" w:fill="ffffff"/>
        </w:rPr>
        <w:t xml:space="preserve">     </w:t>
      </w:r>
      <w:r>
        <w:rPr>
          <w:color w:val="000000"/>
          <w:shd w:val="clear" w:color="auto" w:fill="ffffff"/>
        </w:rPr>
        <w:t xml:space="preserve">от 14.12.2016 №1853-р, 27.02.2017 №210-р, 15.12.2017 №1965-р, 20.03.2018 №317-р, 28.01.2021 №46-р</w:t>
      </w:r>
      <w:r>
        <w:rPr>
          <w:color w:val="000000"/>
          <w:shd w:val="clear" w:color="auto" w:fill="ffffff"/>
        </w:rPr>
        <w:t xml:space="preserve">, от 09.12.2022 №883-р</w:t>
      </w:r>
      <w:r>
        <w:rPr>
          <w:color w:val="000000"/>
          <w:shd w:val="clear" w:color="auto" w:fill="ffffff"/>
        </w:rPr>
        <w:t xml:space="preserve">)</w:t>
      </w:r>
      <w:r/>
    </w:p>
    <w:p>
      <w:pPr>
        <w:pStyle w:val="634"/>
        <w:jc w:val="both"/>
      </w:pPr>
      <w:r/>
      <w:r/>
    </w:p>
    <w:p>
      <w:pPr>
        <w:pStyle w:val="634"/>
        <w:jc w:val="both"/>
      </w:pPr>
      <w:r/>
      <w:r/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привидения муниципального</w:t>
      </w:r>
      <w:r>
        <w:rPr>
          <w:sz w:val="28"/>
          <w:szCs w:val="28"/>
        </w:rPr>
        <w:t xml:space="preserve"> правового акта в соответствие </w:t>
      </w:r>
      <w:r>
        <w:rPr>
          <w:sz w:val="28"/>
          <w:szCs w:val="28"/>
        </w:rPr>
        <w:t xml:space="preserve">с действующим законодательством: </w:t>
      </w:r>
      <w:r/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"https://login.consultant.ru/link/?req=doc&amp;base=RLAW926&amp;n=171117&amp;dst=100019&amp;field=134&amp;date=26.01.2024"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653"/>
          <w:color w:val="000000"/>
          <w:sz w:val="28"/>
          <w:szCs w:val="28"/>
          <w:u w:val="none"/>
        </w:rPr>
        <w:t xml:space="preserve">приложение 1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к</w:t>
      </w:r>
      <w:r>
        <w:rPr>
          <w:sz w:val="28"/>
          <w:szCs w:val="28"/>
        </w:rPr>
        <w:t xml:space="preserve"> распоряжению адми</w:t>
      </w:r>
      <w:r>
        <w:rPr>
          <w:sz w:val="28"/>
          <w:szCs w:val="28"/>
        </w:rPr>
        <w:t xml:space="preserve">нистрации города от 29.03.2016 №</w:t>
      </w:r>
      <w:r>
        <w:rPr>
          <w:sz w:val="28"/>
          <w:szCs w:val="28"/>
        </w:rPr>
        <w:t xml:space="preserve">420-р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(с изменениями от 14.12.2016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1853-р, 27.02.2017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210-р, 15.12.2017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1965-р, 20.03.2018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317-р, </w:t>
      </w:r>
      <w:r>
        <w:rPr>
          <w:color w:val="000000"/>
          <w:sz w:val="28"/>
          <w:szCs w:val="28"/>
          <w:shd w:val="clear" w:color="auto" w:fill="ffffff"/>
        </w:rPr>
        <w:t xml:space="preserve">28.01.2021 №46-р, от 09.12.2022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№883-р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одпункт «а» пункта 1.3 раздела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«а) в обеспечении соблюдения </w:t>
      </w:r>
      <w:r>
        <w:rPr>
          <w:sz w:val="28"/>
          <w:szCs w:val="28"/>
        </w:rPr>
        <w:t xml:space="preserve">муниципальными служащими администрации города </w:t>
      </w:r>
      <w:r>
        <w:rPr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"https://login.consultant.ru/link/?req=doc&amp;base=LAW&amp;n=464894&amp;date=26.01.2024"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653"/>
          <w:color w:val="000000"/>
          <w:sz w:val="28"/>
          <w:szCs w:val="28"/>
          <w:u w:val="none"/>
        </w:rPr>
        <w:t xml:space="preserve">законом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</w:t>
      </w:r>
      <w:r>
        <w:rPr>
          <w:sz w:val="28"/>
          <w:szCs w:val="28"/>
        </w:rPr>
        <w:t xml:space="preserve">.12.</w:t>
      </w:r>
      <w:r>
        <w:rPr>
          <w:sz w:val="28"/>
          <w:szCs w:val="28"/>
        </w:rPr>
        <w:t xml:space="preserve">2008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273-ФЗ «</w:t>
      </w:r>
      <w:r>
        <w:rPr>
          <w:sz w:val="28"/>
          <w:szCs w:val="28"/>
        </w:rPr>
        <w:t xml:space="preserve">О противодействии коррупции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:</w:t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-  пункт 3.1 дополнить дополнить подпунктом </w:t>
      </w:r>
      <w:r>
        <w:rPr>
          <w:sz w:val="28"/>
          <w:szCs w:val="28"/>
        </w:rPr>
        <w:t xml:space="preserve">«е» следующего содержания:</w:t>
      </w:r>
      <w:r>
        <w:rPr>
          <w:sz w:val="28"/>
          <w:szCs w:val="28"/>
        </w:rPr>
      </w:r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«е) уведомление муниципального служащего о возникновении не зависящих от него обстоятельств, препятствующих соблюдению требований к </w:t>
      </w:r>
      <w:r>
        <w:rPr>
          <w:sz w:val="28"/>
          <w:szCs w:val="28"/>
        </w:rPr>
        <w:t xml:space="preserve">служебному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поведению</w:t>
      </w:r>
      <w:r>
        <w:rPr>
          <w:sz w:val="28"/>
          <w:szCs w:val="28"/>
        </w:rPr>
        <w:t xml:space="preserve"> (или) требований об урегулировании конфликта</w:t>
      </w:r>
      <w:r>
        <w:rPr>
          <w:sz w:val="28"/>
          <w:szCs w:val="28"/>
        </w:rPr>
        <w:t xml:space="preserve"> интересов.»;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- пункт 3.6 изложить в следующей редакции:</w:t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«3.6. Уведомления, указанные в абзаце пятом подпункта «б» и подпункте «е» пункта 3.1, рассматрива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 управлением по вопросам муниципальной службы и кадров администрации города, которое осуществляет подготовку мотивированн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результатам рассмотрения уведомлений.»;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- в пункте 3.7</w:t>
      </w:r>
      <w:r>
        <w:rPr>
          <w:sz w:val="28"/>
          <w:szCs w:val="28"/>
        </w:rPr>
        <w:t xml:space="preserve"> слова «подпункте «д» пункта 3.1» заменить словами «подпунктах «д» и «е» пункта 3.1»;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- в пункте 3.7.1: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в подпункте «а» слова «подпункте «д» пункта 3.1» заменить словами «подпунктах «д» и «е» пункта 3.1»;</w:t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пункт «в» изложить в следующей редакции:</w:t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«в) мотивированный вывод по результатам предварительного рассмотрений обращений и уведомлений, указанных в абзацах втором</w:t>
      </w:r>
      <w:r>
        <w:rPr>
          <w:sz w:val="28"/>
          <w:szCs w:val="28"/>
        </w:rPr>
        <w:t xml:space="preserve"> и пятом подпункта «б», подпунктах «д» и «е» пункта 3.1 настоящего Положения, а также рекомендации для принятия одного из решений в соответствии с пунктами </w:t>
      </w:r>
      <w:r>
        <w:rPr>
          <w:sz w:val="28"/>
          <w:szCs w:val="28"/>
        </w:rPr>
        <w:t xml:space="preserve">3.17, 3.19, 3.19.1, 3.24 настоящего Положения или иного решения.»;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- пункт 3.10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«3.10. Уведомления, указанные в подпунктах «д» и «е» пункта </w:t>
      </w:r>
      <w:r>
        <w:rPr>
          <w:sz w:val="28"/>
          <w:szCs w:val="28"/>
        </w:rPr>
        <w:t xml:space="preserve">3.1</w:t>
      </w:r>
      <w:r>
        <w:rPr>
          <w:sz w:val="28"/>
          <w:szCs w:val="28"/>
        </w:rPr>
        <w:t xml:space="preserve"> настоящего Положения, как правило, рассматрива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 на очередном (плановом) заседании комиссии.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- в пункте 3.11 слова</w:t>
      </w:r>
      <w:r>
        <w:rPr>
          <w:sz w:val="28"/>
          <w:szCs w:val="28"/>
        </w:rPr>
        <w:t xml:space="preserve"> «подпунктом «б» пункта 3.1» заменить словами «подпунктами «б» и «е» пункта 3.1»;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- в подпункте «а» пункта 3.12 слова «подпунктом «б» пункта 3.1» заменить словами «подпунктами «б» и «е» пункта 3.1»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дополнить пунктом 3.19.1 следующего содержания:</w:t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</w:pPr>
      <w:r>
        <w:rPr>
          <w:sz w:val="28"/>
          <w:szCs w:val="28"/>
        </w:rPr>
        <w:t xml:space="preserve">«3.19.1.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итогам рассмотрения вопроса, указанного в подпункте «е» пункта 3.1 настоящего Положения, комиссия принимает одно из следующих решений:</w:t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муниципального служащего</w:t>
      </w:r>
      <w:r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r>
        <w:rPr>
          <w:sz w:val="28"/>
          <w:szCs w:val="28"/>
        </w:rPr>
      </w:r>
      <w:r/>
    </w:p>
    <w:p>
      <w:pPr>
        <w:pStyle w:val="655"/>
        <w:ind w:firstLine="540"/>
        <w:jc w:val="both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sz w:val="28"/>
          <w:szCs w:val="28"/>
        </w:rPr>
        <w:t xml:space="preserve">б) признать отсутствие причинно-следственной связи между возникновением не </w:t>
      </w:r>
      <w:r>
        <w:rPr>
          <w:sz w:val="28"/>
          <w:szCs w:val="28"/>
        </w:rPr>
        <w:t xml:space="preserve">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  <w:r>
        <w:rPr>
          <w:sz w:val="28"/>
          <w:szCs w:val="28"/>
        </w:rPr>
      </w:r>
      <w:r/>
    </w:p>
    <w:p>
      <w:pPr>
        <w:pStyle w:val="655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пункт 3.23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/>
    </w:p>
    <w:p>
      <w:pPr>
        <w:pStyle w:val="659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«3.23. </w:t>
      </w:r>
      <w:r>
        <w:rPr>
          <w:sz w:val="28"/>
          <w:szCs w:val="28"/>
        </w:rPr>
        <w:t xml:space="preserve">По итогам рассмотрения вопросов,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Par83  \o "а) </w:instrText>
      </w:r>
      <w:r>
        <w:rPr>
          <w:sz w:val="28"/>
          <w:szCs w:val="28"/>
        </w:rPr>
        <w:instrText xml:space="preserve">представление главой города в соответствии с подпунктом \"г\" пункта 24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</w:instrText>
      </w:r>
      <w:r>
        <w:rPr>
          <w:sz w:val="28"/>
          <w:szCs w:val="28"/>
        </w:rPr>
        <w:instrText xml:space="preserve">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утвер..."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подпунктах «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Par87  \o "б) поступившее в управление по вопросам муниципальной службы и кадров администрации города:"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Par95  \o "г) представление главой города материалов проверки, свидетельствующих о пр</w:instrText>
      </w:r>
      <w:r>
        <w:rPr>
          <w:sz w:val="28"/>
          <w:szCs w:val="28"/>
        </w:rPr>
        <w:instrText xml:space="preserve">едставлении муниципальным служащим недостоверных или неполных сведений, предусмотренных частью 1 статьи 3 Федерального закона от 03.12.2012 N 230-ФЗ \"О контроле за соответствием расходов лиц, замещающих государственные должности, и иных лиц их доходам\";"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Par97  \o "д) </w:instrText>
      </w:r>
      <w:r>
        <w:rPr>
          <w:sz w:val="28"/>
          <w:szCs w:val="28"/>
        </w:rPr>
        <w:instrText xml:space="preserve">поступившее в соответствии с частью 4 статьи 12 Федерального закона от 25.12.2008 N 273-ФЗ \"О противодействии коррупции\" и статьей 64.1 Трудового кодекса Российской Федерации в администрацию города уведомление коммерческой или некоммерческой организации </w:instrText>
      </w:r>
      <w:r>
        <w:rPr>
          <w:sz w:val="28"/>
          <w:szCs w:val="28"/>
        </w:rPr>
        <w:instrText xml:space="preserve">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входили..."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д»</w:t>
      </w:r>
      <w:r>
        <w:rPr>
          <w:sz w:val="28"/>
          <w:szCs w:val="28"/>
        </w:rPr>
        <w:t xml:space="preserve"> и «е» пункта 3.1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при наличии к тому оснований комиссия может принять иное решение, чем это предусмотрено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Par122  \o "3.15. По итогам рассмотрения вопроса, указанного в абзаце втором подпункта \"а\" пункта 3.1 настоящего Положения, комиссия принимает одно из следующих решений:"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пунктами 3.15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Par144  \o "3.20. Утратил силу. - Распоряжение Администрации города Нижневартовска от 27.02.2017 N 210-р."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3.19.1, </w:t>
      </w:r>
      <w:r>
        <w:rPr>
          <w:sz w:val="28"/>
          <w:szCs w:val="28"/>
        </w:rPr>
        <w:fldChar w:fldCharType="end"/>
        <w:fldChar w:fldCharType="begin"/>
      </w:r>
      <w:r>
        <w:rPr>
          <w:sz w:val="28"/>
          <w:szCs w:val="28"/>
        </w:rPr>
        <w:instrText xml:space="preserve">HYPERLINK \l Par146  \o "3.22. По итогам рассмотрения вопроса, указанного в подпункте \"г\" пункта 3.1 настоящего Положения, комиссия принимает одно из следующих решений:"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3.22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</w:instrText>
      </w:r>
      <w:r>
        <w:rPr>
          <w:sz w:val="28"/>
          <w:szCs w:val="28"/>
        </w:rPr>
        <w:instrText xml:space="preserve">INK \l Par151  \o "3.24. По итогам рассмотрения вопроса, указанного в подпункте \"д\" пункта 3.1 настоящего Положения, комиссия принимает в отношении гражданина, замещавшего должность муниципальной службы в администрации города, одно из следующих решений:"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3.24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Положения. Основания и мотивы такого решения должны быть отражены в протоколе заседания комиссии.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5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</w:t>
      </w:r>
      <w:r>
        <w:rPr>
          <w:color w:val="000000"/>
          <w:sz w:val="28"/>
          <w:szCs w:val="28"/>
        </w:rPr>
        <w:t xml:space="preserve">распоряжения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/>
    </w:p>
    <w:p>
      <w:pPr>
        <w:pStyle w:val="655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55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Распоряжение вступает в силу после его официального опубликования.</w:t>
      </w:r>
      <w:r/>
    </w:p>
    <w:p>
      <w:pPr>
        <w:pStyle w:val="6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/>
    </w:p>
    <w:p>
      <w:pPr>
        <w:pStyle w:val="6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/>
    </w:p>
    <w:p>
      <w:pPr>
        <w:pStyle w:val="6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</w:t>
        <w:tab/>
        <w:tab/>
        <w:tab/>
        <w:tab/>
        <w:tab/>
        <w:tab/>
        <w:tab/>
        <w:tab/>
      </w:r>
      <w:r>
        <w:rPr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shd w:val="clear" w:color="auto" w:fill="ffffff"/>
        </w:rPr>
        <w:t xml:space="preserve">Д.А. Кощенко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  <w:rPr>
        <w:rStyle w:val="648"/>
      </w:rPr>
      <w:framePr w:wrap="around" w:vAnchor="text" w:hAnchor="margin" w:xAlign="right" w:y="1"/>
    </w:pPr>
    <w:r>
      <w:rPr>
        <w:rStyle w:val="648"/>
      </w:rPr>
      <w:fldChar w:fldCharType="begin"/>
    </w:r>
    <w:r>
      <w:rPr>
        <w:rStyle w:val="648"/>
      </w:rPr>
      <w:instrText xml:space="preserve">PAGE  </w:instrText>
    </w:r>
    <w:r>
      <w:rPr>
        <w:rStyle w:val="648"/>
      </w:rPr>
      <w:fldChar w:fldCharType="end"/>
    </w:r>
    <w:r>
      <w:rPr>
        <w:rStyle w:val="648"/>
      </w:rPr>
    </w:r>
    <w:r/>
  </w:p>
  <w:p>
    <w:pPr>
      <w:pStyle w:val="647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4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634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34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34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34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34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34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34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34"/>
        <w:ind w:left="2868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4"/>
        <w:ind w:left="1743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34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4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4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4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4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4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4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4"/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4"/>
        <w:ind w:left="900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34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4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4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4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4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4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4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4"/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4"/>
    <w:next w:val="63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4"/>
    <w:next w:val="63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4"/>
    <w:next w:val="63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34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34"/>
    <w:next w:val="63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34"/>
    <w:next w:val="63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34"/>
    <w:next w:val="63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4"/>
    <w:next w:val="63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3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3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3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rPr>
      <w:sz w:val="24"/>
      <w:szCs w:val="24"/>
      <w:lang w:val="ru-RU" w:bidi="ar-SA" w:eastAsia="ru-RU"/>
    </w:rPr>
  </w:style>
  <w:style w:type="paragraph" w:styleId="635">
    <w:name w:val="Заголовок 1"/>
    <w:basedOn w:val="634"/>
    <w:next w:val="634"/>
    <w:link w:val="634"/>
    <w:pPr>
      <w:keepNext/>
      <w:outlineLvl w:val="0"/>
    </w:pPr>
    <w:rPr>
      <w:sz w:val="28"/>
    </w:rPr>
  </w:style>
  <w:style w:type="character" w:styleId="636">
    <w:name w:val="Основной шрифт абзаца"/>
    <w:next w:val="636"/>
    <w:link w:val="634"/>
    <w:semiHidden/>
  </w:style>
  <w:style w:type="table" w:styleId="637">
    <w:name w:val="Обычная таблица"/>
    <w:next w:val="637"/>
    <w:link w:val="634"/>
    <w:semiHidden/>
    <w:tblPr/>
  </w:style>
  <w:style w:type="numbering" w:styleId="638">
    <w:name w:val="Нет списка"/>
    <w:next w:val="638"/>
    <w:link w:val="634"/>
    <w:semiHidden/>
  </w:style>
  <w:style w:type="paragraph" w:styleId="639">
    <w:name w:val="Название"/>
    <w:basedOn w:val="634"/>
    <w:next w:val="639"/>
    <w:link w:val="634"/>
    <w:pPr>
      <w:jc w:val="center"/>
    </w:pPr>
    <w:rPr>
      <w:b/>
      <w:bCs/>
      <w:sz w:val="36"/>
    </w:rPr>
  </w:style>
  <w:style w:type="paragraph" w:styleId="640">
    <w:name w:val="Обычный1"/>
    <w:next w:val="640"/>
    <w:link w:val="634"/>
    <w:rPr>
      <w:sz w:val="24"/>
      <w:lang w:val="ru-RU" w:bidi="ar-SA" w:eastAsia="ru-RU"/>
    </w:rPr>
  </w:style>
  <w:style w:type="paragraph" w:styleId="641">
    <w:name w:val="Текст выноски"/>
    <w:basedOn w:val="634"/>
    <w:next w:val="641"/>
    <w:link w:val="642"/>
    <w:rPr>
      <w:rFonts w:ascii="Tahoma" w:hAnsi="Tahoma"/>
      <w:sz w:val="16"/>
      <w:szCs w:val="16"/>
    </w:rPr>
  </w:style>
  <w:style w:type="character" w:styleId="642">
    <w:name w:val="Текст выноски Знак"/>
    <w:next w:val="642"/>
    <w:link w:val="641"/>
    <w:rPr>
      <w:rFonts w:ascii="Tahoma" w:hAnsi="Tahoma"/>
      <w:sz w:val="16"/>
      <w:szCs w:val="16"/>
    </w:rPr>
  </w:style>
  <w:style w:type="paragraph" w:styleId="643">
    <w:name w:val="Основной текст с отступом"/>
    <w:basedOn w:val="634"/>
    <w:next w:val="643"/>
    <w:link w:val="634"/>
    <w:pPr>
      <w:ind w:left="2160" w:hanging="1452"/>
      <w:jc w:val="both"/>
    </w:pPr>
    <w:rPr>
      <w:sz w:val="28"/>
    </w:rPr>
  </w:style>
  <w:style w:type="paragraph" w:styleId="644">
    <w:name w:val="Основной текст"/>
    <w:basedOn w:val="634"/>
    <w:next w:val="644"/>
    <w:link w:val="634"/>
    <w:pPr>
      <w:jc w:val="both"/>
    </w:pPr>
    <w:rPr>
      <w:sz w:val="28"/>
    </w:rPr>
  </w:style>
  <w:style w:type="paragraph" w:styleId="645">
    <w:name w:val="Основной текст с отступом 2"/>
    <w:basedOn w:val="634"/>
    <w:next w:val="645"/>
    <w:link w:val="634"/>
    <w:pPr>
      <w:ind w:left="283"/>
      <w:spacing w:after="120" w:line="480" w:lineRule="auto"/>
    </w:pPr>
  </w:style>
  <w:style w:type="paragraph" w:styleId="646">
    <w:name w:val="Основной текст с отступом 3"/>
    <w:basedOn w:val="634"/>
    <w:next w:val="646"/>
    <w:link w:val="650"/>
    <w:pPr>
      <w:ind w:left="283"/>
      <w:spacing w:after="120"/>
    </w:pPr>
    <w:rPr>
      <w:sz w:val="16"/>
      <w:szCs w:val="16"/>
    </w:rPr>
  </w:style>
  <w:style w:type="paragraph" w:styleId="647">
    <w:name w:val="Верхний колонтитул"/>
    <w:basedOn w:val="634"/>
    <w:next w:val="647"/>
    <w:link w:val="658"/>
    <w:pPr>
      <w:tabs>
        <w:tab w:val="center" w:pos="4677" w:leader="none"/>
        <w:tab w:val="right" w:pos="9355" w:leader="none"/>
      </w:tabs>
    </w:pPr>
  </w:style>
  <w:style w:type="character" w:styleId="648">
    <w:name w:val="Номер страницы"/>
    <w:basedOn w:val="636"/>
    <w:next w:val="648"/>
    <w:link w:val="634"/>
  </w:style>
  <w:style w:type="paragraph" w:styleId="649">
    <w:name w:val="Основной текст 2"/>
    <w:basedOn w:val="634"/>
    <w:next w:val="649"/>
    <w:link w:val="652"/>
    <w:pPr>
      <w:spacing w:after="120" w:line="480" w:lineRule="auto"/>
    </w:pPr>
  </w:style>
  <w:style w:type="character" w:styleId="650">
    <w:name w:val="Основной текст с отступом 3 Знак"/>
    <w:next w:val="650"/>
    <w:link w:val="646"/>
    <w:rPr>
      <w:sz w:val="16"/>
      <w:szCs w:val="16"/>
    </w:rPr>
  </w:style>
  <w:style w:type="paragraph" w:styleId="651">
    <w:name w:val="Абзац списка"/>
    <w:basedOn w:val="634"/>
    <w:next w:val="651"/>
    <w:link w:val="634"/>
    <w:pPr>
      <w:ind w:left="708"/>
    </w:pPr>
  </w:style>
  <w:style w:type="character" w:styleId="652">
    <w:name w:val="Основной текст 2 Знак"/>
    <w:next w:val="652"/>
    <w:link w:val="649"/>
    <w:rPr>
      <w:sz w:val="24"/>
      <w:szCs w:val="24"/>
    </w:rPr>
  </w:style>
  <w:style w:type="character" w:styleId="653">
    <w:name w:val="Гиперссылка"/>
    <w:next w:val="653"/>
    <w:link w:val="634"/>
    <w:rPr>
      <w:color w:val="0000FF"/>
      <w:u w:val="single"/>
    </w:rPr>
  </w:style>
  <w:style w:type="table" w:styleId="654">
    <w:name w:val="Сетка таблицы"/>
    <w:basedOn w:val="637"/>
    <w:next w:val="654"/>
    <w:link w:val="634"/>
    <w:tblPr/>
  </w:style>
  <w:style w:type="paragraph" w:styleId="655">
    <w:name w:val="Обычный (веб)"/>
    <w:basedOn w:val="634"/>
    <w:next w:val="655"/>
    <w:link w:val="634"/>
    <w:pPr>
      <w:spacing w:before="100" w:beforeAutospacing="1" w:after="100" w:afterAutospacing="1"/>
    </w:pPr>
  </w:style>
  <w:style w:type="paragraph" w:styleId="656">
    <w:name w:val="Нижний колонтитул"/>
    <w:basedOn w:val="634"/>
    <w:next w:val="656"/>
    <w:link w:val="657"/>
    <w:pPr>
      <w:tabs>
        <w:tab w:val="center" w:pos="4677" w:leader="none"/>
        <w:tab w:val="right" w:pos="9355" w:leader="none"/>
      </w:tabs>
    </w:pPr>
  </w:style>
  <w:style w:type="character" w:styleId="657">
    <w:name w:val="Нижний колонтитул Знак"/>
    <w:next w:val="657"/>
    <w:link w:val="656"/>
    <w:rPr>
      <w:sz w:val="24"/>
      <w:szCs w:val="24"/>
    </w:rPr>
  </w:style>
  <w:style w:type="character" w:styleId="658">
    <w:name w:val="Верхний колонтитул Знак"/>
    <w:next w:val="658"/>
    <w:link w:val="647"/>
    <w:rPr>
      <w:sz w:val="24"/>
      <w:szCs w:val="24"/>
    </w:rPr>
  </w:style>
  <w:style w:type="paragraph" w:styleId="659">
    <w:name w:val="ConsPlusNormal"/>
    <w:next w:val="659"/>
    <w:link w:val="634"/>
    <w:pPr>
      <w:widowControl w:val="off"/>
    </w:pPr>
    <w:rPr>
      <w:sz w:val="24"/>
      <w:szCs w:val="24"/>
      <w:lang w:val="ru-RU" w:bidi="ar-SA" w:eastAsia="ru-RU"/>
    </w:rPr>
  </w:style>
  <w:style w:type="character" w:styleId="999" w:default="1">
    <w:name w:val="Default Paragraph Font"/>
    <w:uiPriority w:val="1"/>
    <w:semiHidden/>
    <w:unhideWhenUsed/>
  </w:style>
  <w:style w:type="numbering" w:styleId="1000" w:default="1">
    <w:name w:val="No List"/>
    <w:uiPriority w:val="99"/>
    <w:semiHidden/>
    <w:unhideWhenUsed/>
  </w:style>
  <w:style w:type="table" w:styleId="10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2024-02-08T05:55:09Z</dcterms:modified>
</cp:coreProperties>
</file>