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124" w:right="4819"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ind w:right="-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ПРОЕКТ</w:t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/>
    </w:p>
    <w:p>
      <w:pPr>
        <w:ind w:right="-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ind w:right="4820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приложение к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постановлению </w:t>
      </w:r>
      <w:r>
        <w:rPr>
          <w:rFonts w:ascii="Times New Roman" w:hAnsi="Times New Roman"/>
          <w:sz w:val="24"/>
          <w:szCs w:val="24"/>
        </w:rPr>
        <w:t xml:space="preserve">администрации города от 23.09.2022 №673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"</w:t>
      </w:r>
      <w:r>
        <w:rPr>
          <w:rFonts w:ascii="Times New Roman" w:hAnsi="Times New Roman"/>
          <w:sz w:val="24"/>
          <w:szCs w:val="24"/>
        </w:rPr>
        <w:t xml:space="preserve">Об утверждении муниципальной программы "Профилактика правонарушений и терроризма в городе Нижневартовске" (с изменениями от 21.02.2023 №13</w:t>
      </w:r>
      <w:r>
        <w:rPr>
          <w:rFonts w:ascii="Times New Roman" w:hAnsi="Times New Roman"/>
          <w:sz w:val="24"/>
          <w:szCs w:val="24"/>
          <w:highlight w:val="white"/>
        </w:rPr>
        <w:t xml:space="preserve">9, 29.03.2023 №252, 22.05.2023 №381, 13.11.2023 №966, 01.03.2024 №164, 02.09.2024 №749)</w:t>
      </w:r>
      <w:r/>
    </w:p>
    <w:p>
      <w:pPr>
        <w:ind w:right="4820"/>
        <w:jc w:val="both"/>
        <w:spacing w:after="0" w:line="240" w:lineRule="auto"/>
        <w:rPr>
          <w:rFonts w:ascii="Times New Roman" w:hAnsi="Times New Roman" w:eastAsia="Times New Roman"/>
          <w:color w:val="000000"/>
          <w:sz w:val="32"/>
          <w:szCs w:val="32"/>
          <w:highlight w:val="white"/>
        </w:rPr>
      </w:pPr>
      <w:r>
        <w:rPr>
          <w:rFonts w:ascii="Times New Roman" w:hAnsi="Times New Roman" w:eastAsia="Times New Roman"/>
          <w:color w:val="000000"/>
          <w:sz w:val="32"/>
          <w:szCs w:val="32"/>
          <w:highlight w:val="white"/>
        </w:rPr>
      </w:r>
      <w:r/>
    </w:p>
    <w:p>
      <w:pPr>
        <w:pStyle w:val="955"/>
        <w:contextualSpacing/>
        <w:ind w:firstLine="708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целях </w:t>
      </w:r>
      <w:r>
        <w:rPr>
          <w:sz w:val="28"/>
          <w:szCs w:val="28"/>
          <w:highlight w:val="white"/>
        </w:rPr>
        <w:t xml:space="preserve">приведения </w:t>
      </w:r>
      <w:r>
        <w:rPr>
          <w:sz w:val="28"/>
          <w:szCs w:val="28"/>
          <w:highlight w:val="white"/>
        </w:rPr>
        <w:t xml:space="preserve">муниципальной </w:t>
      </w:r>
      <w:hyperlink r:id="rId10" w:tooltip="https://login.consultant.ru/link/?req=doc&amp;base=RLAW926&amp;n=264092&amp;dst=100051&amp;field=134&amp;date=15.01.2024" w:history="1">
        <w:r>
          <w:rPr>
            <w:sz w:val="28"/>
            <w:szCs w:val="28"/>
            <w:highlight w:val="white"/>
          </w:rPr>
          <w:t xml:space="preserve">программы</w:t>
        </w:r>
      </w:hyperlink>
      <w:r>
        <w:rPr>
          <w:sz w:val="28"/>
          <w:szCs w:val="28"/>
          <w:highlight w:val="white"/>
        </w:rPr>
        <w:t xml:space="preserve"> "Профилактика правонарушений и терроризма в городе Нижневартовске"</w:t>
      </w:r>
      <w:r/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 соответствие </w:t>
        <w:br/>
        <w:t xml:space="preserve">с бюджетом города Нижневартовска на 2024 год </w:t>
      </w:r>
      <w:r>
        <w:rPr>
          <w:sz w:val="28"/>
          <w:szCs w:val="28"/>
          <w:highlight w:val="white"/>
        </w:rPr>
        <w:t xml:space="preserve">:</w:t>
      </w:r>
      <w:r/>
      <w:r/>
      <w:r>
        <w:rPr>
          <w:sz w:val="28"/>
          <w:szCs w:val="28"/>
          <w:highlight w:val="white"/>
        </w:rPr>
      </w:r>
    </w:p>
    <w:p>
      <w:pPr>
        <w:pStyle w:val="955"/>
        <w:contextualSpacing/>
        <w:ind w:firstLine="708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Внести изменения в приложение к постановлению администрации города от 23.09.2022 №673 "Об утверждении муниципальной про</w:t>
      </w:r>
      <w:r>
        <w:rPr>
          <w:sz w:val="28"/>
          <w:szCs w:val="28"/>
          <w:highlight w:val="white"/>
        </w:rPr>
        <w:t xml:space="preserve">граммы "Профилактика правонарушений и терроризма в городе Нижневартовске"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(с изменениями от 21.02.2023 №139, 29.03.2023 №252, 22.05.2023 №381, 13.11.2023 №966, 01.03.2024 №164, 02.09.2024 №749):</w:t>
      </w:r>
      <w:r/>
    </w:p>
    <w:p>
      <w:pPr>
        <w:pStyle w:val="955"/>
        <w:contextualSpacing/>
        <w:ind w:firstLine="708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1.1. </w:t>
      </w:r>
      <w:r>
        <w:rPr>
          <w:color w:val="000000" w:themeColor="text1"/>
          <w:sz w:val="28"/>
          <w:szCs w:val="28"/>
          <w:highlight w:val="white"/>
        </w:rPr>
        <w:t xml:space="preserve">В </w:t>
      </w:r>
      <w:r>
        <w:rPr>
          <w:color w:val="000000" w:themeColor="text1"/>
          <w:sz w:val="28"/>
          <w:szCs w:val="28"/>
          <w:highlight w:val="white"/>
        </w:rPr>
        <w:t xml:space="preserve">Паспорте </w:t>
      </w:r>
      <w:r>
        <w:rPr>
          <w:color w:val="000000" w:themeColor="text1"/>
          <w:sz w:val="28"/>
          <w:szCs w:val="28"/>
          <w:highlight w:val="white"/>
        </w:rPr>
        <w:t xml:space="preserve">му</w:t>
      </w:r>
      <w:r>
        <w:rPr>
          <w:color w:val="000000" w:themeColor="text1"/>
          <w:sz w:val="28"/>
          <w:szCs w:val="28"/>
          <w:highlight w:val="white"/>
        </w:rPr>
        <w:t xml:space="preserve">ниципальной программы:</w:t>
      </w:r>
      <w:r>
        <w:rPr>
          <w:color w:val="000000" w:themeColor="text1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- п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ун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кт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ы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3, 4,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 7, 12, 19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ст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роки "Целевые показатели муниципальной программы"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изложить в новой редакции согласно приложению 1 к настоящему постановлению;</w:t>
      </w:r>
      <w:r>
        <w:rPr>
          <w:color w:val="000000" w:themeColor="text1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- с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троку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 "Параметры финансового обеспечения муниципальной программы"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изложить в новой редакции согласно приложению 2 к настоящему постановлению. </w:t>
      </w:r>
      <w:r>
        <w:rPr>
          <w:color w:val="000000" w:themeColor="text1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color w:val="000000" w:themeColor="text1"/>
          <w:highlight w:val="white"/>
        </w:rPr>
      </w:r>
      <w:bookmarkStart w:id="0" w:name="_GoBack"/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1.2.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 Т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абли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цу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bookmarkEnd w:id="0"/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"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Распределение финансовых ресурсов муниципальной программы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"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изложит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ь в новой редакции согласно приложению 3 к настоящему постановле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нию. </w:t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 Департаменту общественных коммуникаций и молодежной политики администра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ции города (В.А. Мыльников) обеспечить официальное опубликование постановления.</w:t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 Постановление вступает в силу после его официального опубликования.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Глава города                                                                                        Д.А. Кощенко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</w:r>
      <w:r/>
    </w:p>
    <w:p>
      <w:pPr>
        <w:ind w:left="10632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1 к постановлению</w:t>
      </w:r>
      <w:r/>
    </w:p>
    <w:p>
      <w:pPr>
        <w:ind w:left="10632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администрации города</w:t>
      </w:r>
      <w:r/>
    </w:p>
    <w:p>
      <w:pPr>
        <w:ind w:left="10632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___________ №_____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tbl>
      <w:tblPr>
        <w:tblW w:w="15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362"/>
        <w:gridCol w:w="4599"/>
        <w:gridCol w:w="992"/>
        <w:gridCol w:w="787"/>
        <w:gridCol w:w="630"/>
        <w:gridCol w:w="709"/>
        <w:gridCol w:w="709"/>
        <w:gridCol w:w="709"/>
        <w:gridCol w:w="708"/>
        <w:gridCol w:w="709"/>
        <w:gridCol w:w="709"/>
        <w:gridCol w:w="708"/>
        <w:gridCol w:w="1280"/>
        <w:gridCol w:w="15"/>
      </w:tblGrid>
      <w:tr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80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Целевые показатели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№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9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Наименование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целевого показателя</w:t>
            </w:r>
            <w:r/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5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Значение показателя по годам</w:t>
            </w:r>
            <w:r/>
          </w:p>
        </w:tc>
      </w:tr>
      <w:tr>
        <w:trPr>
          <w:cantSplit/>
          <w:gridAfter w:val="1"/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80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базовое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значение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2023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2024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2025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2026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2027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2028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2029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2030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2031 – 2036 годы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на момент 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окончания 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реализации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муниципальной программы</w:t>
            </w:r>
            <w:r/>
          </w:p>
        </w:tc>
      </w:tr>
      <w:tr>
        <w:trPr>
          <w:gridAfter w:val="1"/>
          <w:trHeight w:val="68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80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3.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Доля уличных преступлений от числа зарегистрированных общеуголовных преступлений (%)</w:t>
            </w: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vertAlign w:val="superscript"/>
                <w:lang w:eastAsia="ru-RU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19,79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19,8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lang w:eastAsia="ru-RU"/>
              </w:rPr>
              <w:t xml:space="preserve">18,0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lang w:eastAsia="ru-RU"/>
              </w:rPr>
              <w:t xml:space="preserve">18,0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lang w:eastAsia="ru-RU"/>
              </w:rPr>
              <w:t xml:space="preserve">18,0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lang w:eastAsia="ru-RU"/>
              </w:rPr>
              <w:t xml:space="preserve">18,0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lang w:eastAsia="ru-RU"/>
              </w:rPr>
              <w:t xml:space="preserve">18,0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lang w:eastAsia="ru-RU"/>
              </w:rPr>
              <w:t xml:space="preserve">18,0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lang w:eastAsia="ru-RU"/>
              </w:rPr>
              <w:t xml:space="preserve">18,0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lang w:eastAsia="ru-RU"/>
              </w:rPr>
              <w:t xml:space="preserve">18,0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lang w:eastAsia="ru-RU"/>
              </w:rPr>
              <w:t xml:space="preserve">18,0</w:t>
            </w:r>
            <w:r/>
          </w:p>
        </w:tc>
      </w:tr>
      <w:tr>
        <w:trPr>
          <w:cantSplit/>
          <w:gridAfter w:val="1"/>
          <w:trHeight w:val="68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80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4.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Доля правонарушений, выявленных с помощью технических средств видеофиксации, от общего количества правонарушений (%)</w:t>
            </w: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vertAlign w:val="superscript"/>
                <w:lang w:eastAsia="ru-RU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  <w:t xml:space="preserve">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  <w:t xml:space="preserve">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  <w:t xml:space="preserve">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  <w:t xml:space="preserve">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  <w:t xml:space="preserve">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  <w:t xml:space="preserve">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  <w:t xml:space="preserve">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  <w:t xml:space="preserve">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  <w:t xml:space="preserve">4,0</w:t>
            </w:r>
            <w:r/>
          </w:p>
        </w:tc>
      </w:tr>
      <w:tr>
        <w:trPr>
          <w:gridAfter w:val="1"/>
          <w:trHeight w:val="68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80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Количество рассмотренных административных материалов административной комиссией администрации города Нижневартовска (ед.)</w:t>
            </w: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1 810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1 400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none"/>
                <w:lang w:eastAsia="ru-RU"/>
              </w:rPr>
              <w:t xml:space="preserve">700</w:t>
            </w: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none"/>
                <w:lang w:eastAsia="ru-RU"/>
              </w:rPr>
              <w:t xml:space="preserve">1 000</w:t>
            </w: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none"/>
                <w:lang w:eastAsia="ru-RU"/>
              </w:rPr>
              <w:t xml:space="preserve">1 000</w:t>
            </w: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none"/>
                <w:lang w:eastAsia="ru-RU"/>
              </w:rPr>
              <w:t xml:space="preserve">4 100</w:t>
            </w: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</w:r>
            <w:r/>
          </w:p>
        </w:tc>
      </w:tr>
      <w:tr>
        <w:trPr>
          <w:gridAfter w:val="1"/>
          <w:trHeight w:val="21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80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12.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Количество социально значимых проектов (программ) антинаркотической направленности (ед.)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vertAlign w:val="superscript"/>
                <w:lang w:eastAsia="ru-RU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14</w:t>
            </w:r>
            <w:r/>
          </w:p>
        </w:tc>
      </w:tr>
      <w:tr>
        <w:trPr>
          <w:cantSplit/>
          <w:gridAfter w:val="1"/>
          <w:trHeight w:val="2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19.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Доля обеспеченности средствами антитеррористической защищенности объектов, находящихся в ведении муниципального образования (%)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vertAlign w:val="superscript"/>
                <w:lang w:eastAsia="ru-RU"/>
              </w:rPr>
              <w:t xml:space="preserve"> 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69,95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textDirection w:val="lrTb"/>
            <w:noWrap w:val="false"/>
          </w:tcPr>
          <w:p>
            <w:pPr>
              <w:ind w:left="-79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70,42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ind w:left="-79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71,02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79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71,03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79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71,04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79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71,04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ind w:left="-79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71,04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79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71,04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79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71,04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ind w:left="-79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71,04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textDirection w:val="lrTb"/>
            <w:noWrap w:val="false"/>
          </w:tcPr>
          <w:p>
            <w:pPr>
              <w:ind w:left="-79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71,04</w:t>
            </w:r>
            <w:r/>
          </w:p>
        </w:tc>
      </w:tr>
    </w:tbl>
    <w:p>
      <w:pPr>
        <w:ind w:left="10490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/>
    </w:p>
    <w:p>
      <w:pPr>
        <w:ind w:left="10490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2 к постановлению</w:t>
      </w:r>
      <w:r/>
    </w:p>
    <w:p>
      <w:pPr>
        <w:ind w:left="10490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администрации города</w:t>
      </w:r>
      <w:r/>
    </w:p>
    <w:p>
      <w:pPr>
        <w:ind w:left="10490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___________ №_____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/>
    </w:p>
    <w:tbl>
      <w:tblPr>
        <w:tblW w:w="150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2205"/>
        <w:gridCol w:w="976"/>
        <w:gridCol w:w="1134"/>
        <w:gridCol w:w="1134"/>
        <w:gridCol w:w="992"/>
        <w:gridCol w:w="992"/>
        <w:gridCol w:w="993"/>
        <w:gridCol w:w="992"/>
        <w:gridCol w:w="992"/>
        <w:gridCol w:w="1276"/>
        <w:gridCol w:w="1922"/>
      </w:tblGrid>
      <w:tr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Параметры финансового обеспечения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Источники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финансирования</w:t>
            </w:r>
            <w:r/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Расходы по годам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(тыс. рублей)</w:t>
            </w:r>
            <w:r/>
          </w:p>
        </w:tc>
      </w:tr>
      <w:tr>
        <w:trPr>
          <w:cantSplit/>
          <w:trHeight w:val="65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80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2023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2024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2025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2026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2027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2028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2029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2030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2031 – 2036 годы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cantSplit/>
          <w:trHeight w:val="41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8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256 750,07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42 751,14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70 611,95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22 117,09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22 117,09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9 915,28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9 915,28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9 915,28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9 915,28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59 491,68</w:t>
            </w:r>
            <w:r/>
          </w:p>
        </w:tc>
      </w:tr>
      <w:tr>
        <w:trPr>
          <w:cantSplit/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8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textDirection w:val="lrTb"/>
            <w:noWrap w:val="false"/>
          </w:tcPr>
          <w:p>
            <w:pPr>
              <w:contextualSpacing/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Бюджет </w:t>
            </w:r>
            <w:r/>
          </w:p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автономного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63 855,20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11 389,80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13 860,80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13 448,30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13 448,30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1 170,80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1 170,80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1 170,80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1 170,80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7 024,80</w:t>
            </w:r>
            <w:r/>
          </w:p>
        </w:tc>
      </w:tr>
      <w:tr>
        <w:trPr>
          <w:cantSplit/>
          <w:trHeight w:val="24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Бюджет города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192 894,87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31 361,34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56 751,15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8 668,79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8 668,79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8 744,48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8 744,48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8 744,48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8 744,48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52 466,88</w:t>
            </w:r>
            <w:r/>
          </w:p>
        </w:tc>
      </w:tr>
    </w:tbl>
    <w:p>
      <w:pPr>
        <w:contextualSpacing/>
        <w:ind w:left="9912" w:firstLine="708"/>
        <w:spacing w:line="240" w:lineRule="auto"/>
      </w:pPr>
      <w:r/>
      <w:r/>
    </w:p>
    <w:p>
      <w:pPr>
        <w:contextualSpacing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 xml:space="preserve">Приложение 3 к постановлению</w:t>
      </w:r>
      <w:r/>
    </w:p>
    <w:p>
      <w:pPr>
        <w:contextualSpacing/>
        <w:ind w:left="10915" w:hanging="283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администрации города</w:t>
      </w:r>
      <w:r/>
    </w:p>
    <w:p>
      <w:pPr>
        <w:contextualSpacing/>
        <w:ind w:left="10915" w:hanging="283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___________ №_____</w:t>
      </w:r>
      <w:r/>
    </w:p>
    <w:p>
      <w:pPr>
        <w:ind w:hanging="283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hanging="283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Таблица</w:t>
      </w:r>
      <w:r/>
    </w:p>
    <w:p>
      <w:pPr>
        <w:ind w:hanging="283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Распределение финансовых ресурсов муниципальной программы</w:t>
      </w:r>
      <w:r/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446"/>
        <w:gridCol w:w="2672"/>
        <w:gridCol w:w="2977"/>
        <w:gridCol w:w="1981"/>
        <w:gridCol w:w="846"/>
        <w:gridCol w:w="714"/>
        <w:gridCol w:w="791"/>
        <w:gridCol w:w="592"/>
        <w:gridCol w:w="592"/>
        <w:gridCol w:w="592"/>
        <w:gridCol w:w="592"/>
        <w:gridCol w:w="592"/>
        <w:gridCol w:w="592"/>
        <w:gridCol w:w="592"/>
      </w:tblGrid>
      <w:tr>
        <w:trPr>
          <w:trHeight w:val="34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№ п/п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Структурные элементы (основные мероприятия) муниципальной программы (их связь с целевыми показателями муниципальной программы)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Ответственный исполнитель/соисполнители муниципальной программы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сточники финансирования</w:t>
            </w:r>
            <w:r/>
          </w:p>
        </w:tc>
        <w:tc>
          <w:tcPr>
            <w:gridSpan w:val="10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Финансовые затраты на реализацию (тыс.рублей)</w:t>
            </w:r>
            <w:r/>
          </w:p>
        </w:tc>
      </w:tr>
      <w:tr>
        <w:trPr>
          <w:trHeight w:val="26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всего</w:t>
            </w:r>
            <w:r/>
          </w:p>
        </w:tc>
        <w:tc>
          <w:tcPr>
            <w:gridSpan w:val="9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в том числе:</w:t>
            </w:r>
            <w:r/>
          </w:p>
        </w:tc>
      </w:tr>
      <w:tr>
        <w:trPr>
          <w:trHeight w:val="5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2023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2024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2025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2026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2027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2028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2029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2030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2031-2036 годы</w:t>
            </w:r>
            <w:r/>
          </w:p>
        </w:tc>
      </w:tr>
      <w:tr>
        <w:trPr>
          <w:trHeight w:val="12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7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8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9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/>
          </w:p>
        </w:tc>
      </w:tr>
      <w:tr>
        <w:trPr>
          <w:trHeight w:val="240"/>
        </w:trPr>
        <w:tc>
          <w:tcPr>
            <w:gridSpan w:val="14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Цель 1. Снижение уровня преступности</w:t>
            </w:r>
            <w:r/>
          </w:p>
        </w:tc>
      </w:tr>
      <w:tr>
        <w:trPr>
          <w:trHeight w:val="225"/>
        </w:trPr>
        <w:tc>
          <w:tcPr>
            <w:gridSpan w:val="14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Задача 1. Совершенствование системы профилактики правонарушений</w:t>
            </w:r>
            <w:r/>
          </w:p>
        </w:tc>
      </w:tr>
      <w:tr>
        <w:trPr>
          <w:trHeight w:val="7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1.1.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"Организация информационного сопровождения мероприятий по профилактике правонарушений" (показатели 1, 2)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управление по вопросам законности, правопорядка и безопасности администрации города/ департамент общественных коммуникаций и молодежной политики администрации города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6 905,65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591,48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584,19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626,49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626,49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447,70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447,70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447,70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447,70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2 686,20</w:t>
            </w:r>
            <w:r/>
          </w:p>
        </w:tc>
      </w:tr>
      <w:tr>
        <w:trPr>
          <w:trHeight w:val="97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1.2.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"Правовое просвещение и информирование в сфере защиты прав потребителей, формирование у населения навыков рационального потребительского поведения" (показатель 6)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экономического развития администрации города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</w:tr>
      <w:tr>
        <w:trPr>
          <w:trHeight w:val="2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1.3.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restart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"Создание условий для деятельности народных дружин на территории города" (показатели 3, 5, 9)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управление по вопросам законности, правопорядка и безопасности администрации города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всего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14 302,90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951,90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951,90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951,90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951,90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1 049,53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1 049,53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1 049,53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1 049,53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6 297,18</w:t>
            </w:r>
            <w:r/>
          </w:p>
        </w:tc>
      </w:tr>
      <w:tr>
        <w:trPr>
          <w:trHeight w:val="2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автономного округа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6 591,60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511,40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511,40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511,40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511,40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454,60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454,60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454,60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454,60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2 727,60</w:t>
            </w:r>
            <w:r/>
          </w:p>
        </w:tc>
      </w:tr>
      <w:tr>
        <w:trPr>
          <w:trHeight w:val="25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7 711,30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440,50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440,50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440,50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440,50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594,93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594,93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594,93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594,93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3 569,58</w:t>
            </w:r>
            <w:r/>
          </w:p>
        </w:tc>
      </w:tr>
      <w:tr>
        <w:trPr>
          <w:trHeight w:val="4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1.4.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restart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"Обеспечение функционирования и развития систем видеонаблюдения в сфере общественного порядка на территории города" (показатели 3, 4)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муниципальное казенное учреждение города Нижневартовска "Управление по делам гражданской обороны и чр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езвычайным ситуациям"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всего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16 509,04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7 556,54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895,25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895,25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895,25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895,25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5 371,50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автономного округа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7 162,00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716,20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716,20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716,20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716,20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4 297,20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9 347,04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7 556,54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179,05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179,05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179,05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179,05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1 074,30</w:t>
            </w:r>
            <w:r/>
          </w:p>
        </w:tc>
      </w:tr>
      <w:tr>
        <w:trPr>
          <w:trHeight w:val="11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1.5.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"Создание условий путем предоставления помещений для работы на обслуживаемом административном участке сотрудников, замещающих должности участковых уполномоченных полиции" (показатели 5, 9)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муниципальной собственности и земельных ресурсов администрации города, муниципальное казенное учреждение "Управление капитального строительства города Нижневартовска" 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16 699,19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16 699,19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</w:tr>
      <w:tr>
        <w:trPr>
          <w:trHeight w:val="26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Итого по задаче 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всего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54 416,78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18 242,57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9 092,63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1 578,39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1 578,39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2 392,48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2 392,48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2 392,48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2 392,48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14 354,88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бюджет автономного округа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13 753,60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511,40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511,40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511,40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511,40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1 170,80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1 170,80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1 170,80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1 170,80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7 024,80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40 663,18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17 731,17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8 581,23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1 066,99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1 066,99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1 221,68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1 221,68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1 221,68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1 221,68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7 330,08</w:t>
            </w:r>
            <w:r/>
          </w:p>
        </w:tc>
      </w:tr>
      <w:tr>
        <w:trPr>
          <w:trHeight w:val="225"/>
        </w:trPr>
        <w:tc>
          <w:tcPr>
            <w:gridSpan w:val="14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Задача 2. Профилактика правонарушений среди несовершеннолетних</w:t>
            </w:r>
            <w:r/>
          </w:p>
        </w:tc>
      </w:tr>
      <w:tr>
        <w:trPr>
          <w:trHeight w:val="757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2.1.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  <w:t xml:space="preserve">Основное мероприятие "Организация проведения обучающих семинаров, тренингов и конференций по профилактике правонарушений" </w:t>
              <w:br/>
              <w:t xml:space="preserve">(показатели 1, 2)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образования администрации города; 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в сфере образования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2 800,00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1 200,00</w:t>
            </w:r>
            <w:r/>
          </w:p>
        </w:tc>
      </w:tr>
      <w:tr>
        <w:trPr>
          <w:trHeight w:val="1556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2.2.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  <w:t xml:space="preserve">Основное мероприятие "Мероприятия по профилактике правонарушений среди несовершеннолетних" </w:t>
              <w:br/>
              <w:t xml:space="preserve">(показатели 1, 2)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  <w:br/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образования администрации города; 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в сфере образования; 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общественных коммуникаций и молодежной политики администрации города;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 муниципальное автономное учреждение города Нижневартовска "Молодежный центр"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т города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1 960,00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140,00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140,00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140,00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140,00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140,00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140,00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140,00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140,00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840,00</w:t>
            </w:r>
            <w:r/>
          </w:p>
        </w:tc>
      </w:tr>
      <w:tr>
        <w:trPr>
          <w:trHeight w:val="101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2.3.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"Совершенствование системы профилактики правонарушений, связанных с нарушением безопасности дорожного движения" </w:t>
              <w:br/>
              <w:t xml:space="preserve">(показатель 8)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жилищно-коммунального хозяйства администрации города; 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образования администрации города; 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в сфере образования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41 160,90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3 200,90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2 920,00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2 920,00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2 920,00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2 920,00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2 920,00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2 920,00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2 920,00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17 520,00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Итого по задаче 2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45 920,90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3 540,90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3 260,00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3 260,00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3 260,00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3 260,00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3 260,00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3 260,00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3 260,00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19 560,00</w:t>
            </w:r>
            <w:r/>
          </w:p>
        </w:tc>
      </w:tr>
      <w:tr>
        <w:trPr>
          <w:trHeight w:val="225"/>
        </w:trPr>
        <w:tc>
          <w:tcPr>
            <w:gridSpan w:val="14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6"/>
                <w:highlight w:val="white"/>
              </w:rPr>
              <w:t xml:space="preserve">Цель 2. Снижение общей распространенности наркомании</w:t>
            </w:r>
            <w:r/>
          </w:p>
        </w:tc>
      </w:tr>
      <w:tr>
        <w:trPr>
          <w:trHeight w:val="225"/>
        </w:trPr>
        <w:tc>
          <w:tcPr>
            <w:gridSpan w:val="14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6"/>
                <w:highlight w:val="white"/>
              </w:rPr>
              <w:t xml:space="preserve">Задача 3. Профилактика незаконного потребления наркотических средств, психотропных веществ</w:t>
            </w:r>
            <w:r/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3.1.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"Создание условий для антинаркотической пропаганды, организация проведения антинаркотических профилактических мероприятий" </w:t>
              <w:br/>
              <w:t xml:space="preserve">(показатели 10,</w:t>
            </w: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 15)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по социальной политике администрации города; 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в сфере культуры; 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муниципальное автономное учреждение города Нижневартовска "Дирекция спортивных сооружений"; 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общественных коммуникаций и молодежной политики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 администрации города;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 муниципальное автономное учреждение города Нижневартовска "Молодежный центр";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 департамент образования администрации города;  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в сфере образования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19 250,00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1 375,00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1 375,00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1 375,00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1 375,00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1 3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75,00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1 375,00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1 375,00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1 375,00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8 250,00</w:t>
            </w:r>
            <w:r/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3.2.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restart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"Проведение конкурса проектов (программ) в сфере профилактики незаконного потребления наркотических средств, психотропных веществ, антинаркотической пропаганды"</w:t>
              <w:br/>
              <w:t xml:space="preserve">(показатели 12, 15)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управление по вопросам законности, правопорядка и безопасности администрации города/ 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 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всего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4 060,00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860,50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476,50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236,50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236,50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225,00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225,00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225,00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225,00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1 350,00</w:t>
            </w:r>
            <w:r/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автономного округа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864,00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624,00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240,00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</w:tr>
      <w:tr>
        <w:trPr>
          <w:trHeight w:val="5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3 196,00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236,50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236,50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236,50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236,50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225,00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225,00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225,00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225,00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1 350,00</w:t>
            </w:r>
            <w:r/>
          </w:p>
        </w:tc>
      </w:tr>
      <w:tr>
        <w:trPr>
          <w:trHeight w:val="8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3.3.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"Приобретение и внедрение профилактических, диагностических программ по работе с семьей, детьми и подростками. Проведение развивающих занятий по формированию навыков ассертивного (уверенного) поведения" </w:t>
              <w:br/>
              <w:t xml:space="preserve">(показатели 10, 15)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образования  администрации города; 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в сфере образования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700,00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300,00</w:t>
            </w:r>
            <w:r/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3.4.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"Организация проведения семинаров, мастер-классов, конференций для педагогической общественности по вопросам профилактики наркомании" </w:t>
              <w:br/>
              <w:t xml:space="preserve">(показатель 11)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образования администрации города; </w:t>
            </w:r>
            <w:r/>
          </w:p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в сфере образования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1 400,00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600,00</w:t>
            </w:r>
            <w:r/>
          </w:p>
        </w:tc>
      </w:tr>
      <w:tr>
        <w:trPr>
          <w:trHeight w:val="175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3.5.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"Организация изготовления, размещения, р</w:t>
            </w: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аспространения информационно-справочных материалов,направленных на профилактику незаконного потребления наркотических средств, психотропных веществ, правовое просвещение и правовое информирование населения, антинаркотическую пропаганду" </w:t>
              <w:br/>
              <w:t xml:space="preserve">(показатели 13, 14)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управление по вопросам законности, правопорядка и безопасности администрации города/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общественных коммуникаций 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и молодежной политики администрации города;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br/>
              <w:t xml:space="preserve">департамент образования администрации города; </w:t>
            </w:r>
            <w:r>
              <w:rPr>
                <w:color w:val="000000" w:themeColor="text1"/>
                <w:highlight w:val="white"/>
              </w:rPr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в сфере образов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ания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5 822,30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622,30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2 400,00</w:t>
            </w:r>
            <w:r/>
          </w:p>
        </w:tc>
      </w:tr>
      <w:tr>
        <w:trPr>
          <w:trHeight w:val="12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3.6.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"Организация мероприятий по созданию условий для разработки социальной рекламы, направленной на профилактику незаконного потребления наркотических средств, психотропных веществ, антинаркотическую пропаганду" </w:t>
              <w:br/>
              <w:t xml:space="preserve">(показатели 10, 13, 14)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общественных коммуникаций и молодежной политики администрации города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;</w:t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муниципальное автономное учреждение города Нижневартовска "Молодежный центр"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2 800,00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1 200,00</w:t>
            </w:r>
            <w:r/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3.7.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"Проведение социологических исследований" </w:t>
              <w:br/>
              <w:t xml:space="preserve">(показатель 14)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общественных коммуникаций и молодежной политики администрации города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654,00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38,50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38,50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38,50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38,50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300,00</w:t>
            </w:r>
            <w:r/>
          </w:p>
        </w:tc>
      </w:tr>
      <w:tr>
        <w:trPr>
          <w:trHeight w:val="2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restart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Итого по задаче 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всего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34 686,30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3 024,00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2 862,30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2 400,00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2 400,00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14 400,00</w:t>
            </w:r>
            <w:r/>
          </w:p>
        </w:tc>
      </w:tr>
      <w:tr>
        <w:trPr>
          <w:trHeight w:val="2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бюджет автономного округа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864,00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624,00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240,00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0,00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33 822,30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2 400,00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2 622,30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2 400,00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2 400,00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14 400,00</w:t>
            </w:r>
            <w:r/>
          </w:p>
        </w:tc>
      </w:tr>
      <w:tr>
        <w:trPr/>
        <w:tc>
          <w:tcPr>
            <w:gridSpan w:val="14"/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6"/>
                <w:highlight w:val="white"/>
              </w:rPr>
              <w:t xml:space="preserve">Цель 3. Обеспечение отдельных государственных полномочий в сфере правопорядка</w:t>
            </w:r>
            <w:r/>
          </w:p>
        </w:tc>
      </w:tr>
      <w:tr>
        <w:trPr>
          <w:trHeight w:val="225"/>
        </w:trPr>
        <w:tc>
          <w:tcPr>
            <w:gridSpan w:val="14"/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6"/>
                <w:highlight w:val="white"/>
              </w:rPr>
              <w:t xml:space="preserve">Задача 4. Реализация отдельных государственных полномочий по созданию административных комиссий</w:t>
            </w:r>
            <w:r/>
          </w:p>
        </w:tc>
      </w:tr>
      <w:tr>
        <w:trPr>
          <w:trHeight w:val="6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4.1.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restart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"Обеспечение деятельности административной комиссии </w:t>
            </w: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br/>
              <w:t xml:space="preserve">города Нижневартовска" </w:t>
              <w:br/>
              <w:t xml:space="preserve">(показатель 7)</w:t>
            </w: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br/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управление по вопросам законности, правопорядка и безопасности администрации города/ 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муниципальное казенное учреждение "Управление материально-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технического обеспечения деятельности органов местного самоуправления города Нижневартовска"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всего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48 560,13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9 679,65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13 006,68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12 936,90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12 936,90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автономного округа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48 416,40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9 605,70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12 936,90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12 936,90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12 936,90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143,73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73,95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69,78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Итого по задаче 4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всего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48 560,13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9 679,65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13 006,68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12 936,90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12 936,90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автономного округа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48 416,40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9 605,70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12 936,90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12 936,90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12 936,90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143,73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73,95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69,78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</w:tr>
      <w:tr>
        <w:trPr>
          <w:trHeight w:val="132"/>
        </w:trPr>
        <w:tc>
          <w:tcPr>
            <w:gridSpan w:val="14"/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6"/>
                <w:highlight w:val="white"/>
              </w:rPr>
              <w:t xml:space="preserve">Цель 4. Создание условий для комплексной антитеррористической безопасности в городе Нижневартовске</w:t>
            </w:r>
            <w:r/>
          </w:p>
        </w:tc>
      </w:tr>
      <w:tr>
        <w:trPr>
          <w:trHeight w:val="405"/>
        </w:trPr>
        <w:tc>
          <w:tcPr>
            <w:gridSpan w:val="14"/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6"/>
                <w:highlight w:val="white"/>
              </w:rPr>
              <w:t xml:space="preserve">Задача 5. Совершенствование мер, направленных на профилактику террористической идеологии в подростковой и молодежной среде. Информационно-пропагандистское сопровождение и методическое обеспечение профилактики терроризма</w:t>
            </w:r>
            <w:r/>
          </w:p>
        </w:tc>
      </w:tr>
      <w:tr>
        <w:trPr>
          <w:trHeight w:val="19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5.1.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"Организа</w:t>
            </w: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ция и проведение воспитательной и просветительской работы среди детей и молодежи, направленной на профилактику терроризма"</w:t>
              <w:br/>
              <w:t xml:space="preserve"> (показатель 18)</w:t>
            </w: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образования администрации города; </w:t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yellow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в сфере образова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ния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; </w:t>
            </w:r>
            <w:r>
              <w:rPr>
                <w:highlight w:val="white"/>
              </w:rPr>
            </w:r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общественных коммуникаций и молодежной политики администрации города;</w:t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муниципальное автономное учреждение города Нижневартовска "Молодежный центр"; </w:t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по социальной политике администрации города; </w:t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в сфере кул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ьтуры; </w:t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в сфере физической культуры и спорта 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4 200,00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300,00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300,00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300,00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300,00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300,00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1 800,00</w:t>
            </w:r>
            <w:r/>
          </w:p>
        </w:tc>
      </w:tr>
      <w:tr>
        <w:trPr>
          <w:trHeight w:val="19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5.2.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"Правовое просвещение и информирование населения муниципального образования в сфере профилактики терроризма" </w:t>
              <w:br/>
              <w:t xml:space="preserve">(показатель 17, 20)</w:t>
            </w: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управление по вопросам законности, правопорядка и безопасности администрации города/ 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общественных коммуникаций и молодежной политики администрации города;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по социальной политике администрации города; </w:t>
            </w:r>
            <w:r>
              <w:rPr>
                <w:highlight w:val="white"/>
              </w:rPr>
            </w:r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в сфере культуры; </w:t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12 211,21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887,81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931,80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931,80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931,80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852,80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852,80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852,80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852,80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5 116,80</w:t>
            </w:r>
            <w:r/>
          </w:p>
        </w:tc>
      </w:tr>
      <w:tr>
        <w:trPr>
          <w:trHeight w:val="15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5.3.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"Методическое обеспечение и подготовка муниципальных служащих и работников муниципальных учреждений по вопросам профилактики </w:t>
            </w: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терроризма. Проведение социологических исследований по вопросам противодействия идеологии терроризма на терри</w:t>
            </w: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тории города"</w:t>
            </w: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br/>
              <w:t xml:space="preserve">(показатели 16, 17)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управление по вопросам законности, правопорядка и безопасности администрации города/ 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общественных коммуникаций и молодежной политики администрации города 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2 800,00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1 200,00</w:t>
            </w:r>
            <w:r/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Итого по задаче 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19 211,21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1 387,81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1 431,80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1 431,80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1 431,80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1 352,80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1 352,80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1 352,80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1 352,80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8 116,80</w:t>
            </w:r>
            <w:r/>
          </w:p>
        </w:tc>
      </w:tr>
      <w:tr>
        <w:trPr>
          <w:trHeight w:val="360"/>
        </w:trPr>
        <w:tc>
          <w:tcPr>
            <w:gridSpan w:val="14"/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6"/>
                <w:highlight w:val="white"/>
              </w:rPr>
              <w:t xml:space="preserve">Задача 6. Создание условий для комплексной антитеррористической безопасности мест массового пребывания людей. Усиление антитеррористической защищенности объектов, находящихся в ведении муниципального образования</w:t>
            </w:r>
            <w:r/>
          </w:p>
        </w:tc>
      </w:tr>
      <w:tr>
        <w:trPr>
          <w:trHeight w:val="85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6.1.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restart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"Повышение уровня антитеррористической защищенности муниципальных объектов" </w:t>
              <w:br/>
              <w:t xml:space="preserve">(показатель 19)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по социальной политике администрации города; </w:t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в сфере культуры; </w:t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в сфере физической культуры и спорта; </w:t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обра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зования администрации города; </w:t>
            </w:r>
            <w:r>
              <w:rPr>
                <w:highlight w:val="white"/>
              </w:rPr>
            </w:r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в сфере образования; </w:t>
            </w:r>
            <w:r>
              <w:rPr>
                <w:highlight w:val="white"/>
              </w:rPr>
            </w:r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жилищ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но-коммунального хозяйства администрации города;</w:t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муниципальное бюджетное учрежде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ние "Управление по дорожному хозяйству и благоустройству города Нижневартовска"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всего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53 954,75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6 876,21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40 958,54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510,00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510,00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3 060,00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автономного округа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821,20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648,70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172,50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</w:tr>
      <w:tr>
        <w:trPr>
          <w:trHeight w:val="91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53 133,55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6 227,51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40 786,04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510,00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510,00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3 060,00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restart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Итого по задаче 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всего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53 954,75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6 876,21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40 958,54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510,00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510,00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3 060,00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бюджет автономного округа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821,20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648,70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172,50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0,00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53 133,55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6 227,51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40 786,04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510,00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510,00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3 060,00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restart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Всего по муниципальной программе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всего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256 750,07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42 751,14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70 611,95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22 117,09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22 117,09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9 915,28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9 915,28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9 915,28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9 915,28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59 491,68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бюджет автономного округа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63 855,20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11 389,80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13 860,80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13 448,30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13 448,30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1 170,80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1 170,80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1 170,80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1 170,80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7 024,80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192 894,87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31 361,34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56 751,15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8 668,79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8 668,79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8 744,48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8 744,48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8 744,48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8 744,48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52 466,88</w:t>
            </w:r>
            <w:r/>
          </w:p>
        </w:tc>
      </w:tr>
    </w:tbl>
    <w:p>
      <w:pPr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Примечание: средства бюджета автономного округа поступают в рамках государственной </w:t>
      </w:r>
      <w:hyperlink r:id="rId11" w:tooltip="https://login.consultant.ru/link/?req=doc&amp;base=RLAW926&amp;n=238526&amp;dst=102845&amp;field=134&amp;date=29.09.2021" w:history="1">
        <w:r>
          <w:rPr>
            <w:rFonts w:ascii="Times New Roman" w:hAnsi="Times New Roman" w:eastAsia="Times New Roman"/>
            <w:sz w:val="24"/>
            <w:szCs w:val="24"/>
            <w:lang w:eastAsia="ru-RU"/>
          </w:rPr>
          <w:t xml:space="preserve">п</w:t>
        </w:r>
        <w:bookmarkStart w:id="1" w:name="_Hlt156312957"/>
        <w:bookmarkStart w:id="2" w:name="_Hlt156312958"/>
        <w:bookmarkEnd w:id="1"/>
        <w:bookmarkEnd w:id="2"/>
        <w:r>
          <w:rPr>
            <w:rFonts w:ascii="Times New Roman" w:hAnsi="Times New Roman" w:eastAsia="Times New Roman"/>
            <w:sz w:val="24"/>
            <w:szCs w:val="24"/>
            <w:lang w:eastAsia="ru-RU"/>
          </w:rPr>
          <w:t xml:space="preserve">рограмм</w:t>
        </w:r>
      </w:hyperlink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ы Ханты-Мансийского автоном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ного округа – Югры "Безопасность жизнедеятельности и профилактика правонарушений".</w:t>
      </w:r>
      <w:r/>
    </w:p>
    <w:sectPr>
      <w:footnotePr/>
      <w:endnotePr/>
      <w:type w:val="nextPage"/>
      <w:pgSz w:w="16838" w:h="11906" w:orient="landscape"/>
      <w:pgMar w:top="1134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Segoe UI">
    <w:panose1 w:val="020B0502040504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  <w:jc w:val="center"/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1</w:t>
    </w:r>
    <w:r>
      <w:rPr>
        <w:rFonts w:ascii="Times New Roman" w:hAnsi="Times New Roman"/>
        <w:sz w:val="24"/>
        <w:szCs w:val="24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9" w:hanging="405"/>
      </w:pPr>
    </w:lvl>
    <w:lvl w:ilvl="1">
      <w:start w:val="1"/>
      <w:numFmt w:val="decimal"/>
      <w:isLgl w:val="false"/>
      <w:suff w:val="tab"/>
      <w:lvlText w:val="%1.%2"/>
      <w:lvlJc w:val="left"/>
      <w:pPr>
        <w:ind w:left="1309" w:hanging="60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422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9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55">
    <w:name w:val="Heading 1"/>
    <w:basedOn w:val="654"/>
    <w:next w:val="654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957"/>
    <w:uiPriority w:val="9"/>
    <w:qFormat/>
    <w:pPr>
      <w:keepNext/>
      <w:spacing w:before="240" w:after="60" w:line="240" w:lineRule="auto"/>
      <w:outlineLvl w:val="2"/>
    </w:pPr>
    <w:rPr>
      <w:rFonts w:ascii="Cambria" w:hAnsi="Cambria" w:eastAsia="Times New Roman"/>
      <w:b/>
      <w:bCs/>
      <w:sz w:val="26"/>
      <w:szCs w:val="26"/>
      <w:lang w:val="en-US" w:eastAsia="ru-RU"/>
    </w:rPr>
  </w:style>
  <w:style w:type="paragraph" w:styleId="658">
    <w:name w:val="Heading 4"/>
    <w:basedOn w:val="654"/>
    <w:next w:val="654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1">
    <w:name w:val="Heading 7"/>
    <w:basedOn w:val="654"/>
    <w:next w:val="654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2">
    <w:name w:val="Heading 8"/>
    <w:basedOn w:val="654"/>
    <w:next w:val="654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3">
    <w:name w:val="Heading 9"/>
    <w:basedOn w:val="654"/>
    <w:next w:val="654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Arial" w:hAnsi="Arial" w:eastAsia="Arial" w:cs="Arial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Arial" w:hAnsi="Arial" w:eastAsia="Arial" w:cs="Arial"/>
      <w:sz w:val="34"/>
    </w:rPr>
  </w:style>
  <w:style w:type="character" w:styleId="669" w:customStyle="1">
    <w:name w:val="Heading 4 Char"/>
    <w:basedOn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Heading 5 Char"/>
    <w:basedOn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Heading 6 Char"/>
    <w:basedOn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Heading 7 Char"/>
    <w:basedOn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Heading 8 Char"/>
    <w:basedOn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Heading 9 Char"/>
    <w:basedOn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675" w:customStyle="1">
    <w:name w:val="Subtitle Char"/>
    <w:basedOn w:val="664"/>
    <w:uiPriority w:val="11"/>
    <w:rPr>
      <w:sz w:val="24"/>
      <w:szCs w:val="24"/>
    </w:rPr>
  </w:style>
  <w:style w:type="character" w:styleId="676" w:customStyle="1">
    <w:name w:val="Quote Char"/>
    <w:uiPriority w:val="29"/>
    <w:rPr>
      <w:i/>
    </w:rPr>
  </w:style>
  <w:style w:type="character" w:styleId="677" w:customStyle="1">
    <w:name w:val="Intense Quote Char"/>
    <w:uiPriority w:val="30"/>
    <w:rPr>
      <w:i/>
    </w:rPr>
  </w:style>
  <w:style w:type="character" w:styleId="678" w:customStyle="1">
    <w:name w:val="Заголовок 1 Знак"/>
    <w:link w:val="655"/>
    <w:uiPriority w:val="9"/>
    <w:rPr>
      <w:rFonts w:ascii="Arial" w:hAnsi="Arial" w:eastAsia="Arial" w:cs="Arial"/>
      <w:sz w:val="40"/>
      <w:szCs w:val="40"/>
    </w:rPr>
  </w:style>
  <w:style w:type="character" w:styleId="679" w:customStyle="1">
    <w:name w:val="Заголовок 2 Знак"/>
    <w:link w:val="656"/>
    <w:uiPriority w:val="9"/>
    <w:rPr>
      <w:rFonts w:ascii="Arial" w:hAnsi="Arial" w:eastAsia="Arial" w:cs="Arial"/>
      <w:sz w:val="34"/>
    </w:rPr>
  </w:style>
  <w:style w:type="character" w:styleId="680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81" w:customStyle="1">
    <w:name w:val="Заголовок 4 Знак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682" w:customStyle="1">
    <w:name w:val="Заголовок 5 Знак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683" w:customStyle="1">
    <w:name w:val="Заголовок 6 Знак"/>
    <w:link w:val="660"/>
    <w:uiPriority w:val="9"/>
    <w:rPr>
      <w:rFonts w:ascii="Arial" w:hAnsi="Arial" w:eastAsia="Arial" w:cs="Arial"/>
      <w:b/>
      <w:bCs/>
      <w:sz w:val="22"/>
      <w:szCs w:val="22"/>
    </w:rPr>
  </w:style>
  <w:style w:type="character" w:styleId="684" w:customStyle="1">
    <w:name w:val="Заголовок 7 Знак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 w:customStyle="1">
    <w:name w:val="Заголовок 8 Знак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686" w:customStyle="1">
    <w:name w:val="Заголовок 9 Знак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654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688">
    <w:name w:val="No Spacing"/>
    <w:uiPriority w:val="1"/>
    <w:qFormat/>
    <w:rPr>
      <w:sz w:val="22"/>
      <w:szCs w:val="22"/>
      <w:lang w:eastAsia="en-US"/>
    </w:rPr>
  </w:style>
  <w:style w:type="paragraph" w:styleId="689">
    <w:name w:val="Title"/>
    <w:basedOn w:val="654"/>
    <w:link w:val="961"/>
    <w:qFormat/>
    <w:pPr>
      <w:jc w:val="center"/>
      <w:spacing w:after="0" w:line="240" w:lineRule="auto"/>
    </w:pPr>
    <w:rPr>
      <w:rFonts w:ascii="Times New Roman" w:hAnsi="Times New Roman" w:eastAsia="Times New Roman"/>
      <w:sz w:val="28"/>
      <w:szCs w:val="24"/>
      <w:lang w:val="en-US" w:eastAsia="ru-RU"/>
    </w:rPr>
  </w:style>
  <w:style w:type="character" w:styleId="690" w:customStyle="1">
    <w:name w:val="Title Char"/>
    <w:uiPriority w:val="10"/>
    <w:rPr>
      <w:sz w:val="48"/>
      <w:szCs w:val="48"/>
    </w:rPr>
  </w:style>
  <w:style w:type="paragraph" w:styleId="691">
    <w:name w:val="Subtitle"/>
    <w:basedOn w:val="654"/>
    <w:next w:val="654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 w:customStyle="1">
    <w:name w:val="Подзаголовок Знак"/>
    <w:link w:val="691"/>
    <w:uiPriority w:val="11"/>
    <w:rPr>
      <w:sz w:val="24"/>
      <w:szCs w:val="24"/>
    </w:rPr>
  </w:style>
  <w:style w:type="paragraph" w:styleId="693">
    <w:name w:val="Quote"/>
    <w:basedOn w:val="654"/>
    <w:next w:val="654"/>
    <w:link w:val="694"/>
    <w:uiPriority w:val="29"/>
    <w:qFormat/>
    <w:pPr>
      <w:ind w:left="720" w:right="720"/>
    </w:pPr>
    <w:rPr>
      <w:i/>
    </w:rPr>
  </w:style>
  <w:style w:type="character" w:styleId="694" w:customStyle="1">
    <w:name w:val="Цитата 2 Знак"/>
    <w:link w:val="693"/>
    <w:uiPriority w:val="29"/>
    <w:rPr>
      <w:i/>
    </w:rPr>
  </w:style>
  <w:style w:type="paragraph" w:styleId="695">
    <w:name w:val="Intense Quote"/>
    <w:basedOn w:val="654"/>
    <w:next w:val="654"/>
    <w:link w:val="6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 w:customStyle="1">
    <w:name w:val="Выделенная цитата Знак"/>
    <w:link w:val="695"/>
    <w:uiPriority w:val="30"/>
    <w:rPr>
      <w:i/>
    </w:rPr>
  </w:style>
  <w:style w:type="paragraph" w:styleId="697">
    <w:name w:val="Header"/>
    <w:basedOn w:val="654"/>
    <w:link w:val="8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8" w:customStyle="1">
    <w:name w:val="Header Char"/>
    <w:uiPriority w:val="99"/>
  </w:style>
  <w:style w:type="paragraph" w:styleId="699">
    <w:name w:val="Footer"/>
    <w:basedOn w:val="654"/>
    <w:link w:val="85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0" w:customStyle="1">
    <w:name w:val="Footer Char"/>
    <w:uiPriority w:val="99"/>
  </w:style>
  <w:style w:type="paragraph" w:styleId="701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02" w:customStyle="1">
    <w:name w:val="Caption Char"/>
    <w:uiPriority w:val="99"/>
  </w:style>
  <w:style w:type="table" w:styleId="703">
    <w:name w:val="Table Grid"/>
    <w:basedOn w:val="665"/>
    <w:uiPriority w:val="39"/>
    <w:tblPr/>
  </w:style>
  <w:style w:type="table" w:styleId="70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4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29">
    <w:name w:val="Hyperlink"/>
    <w:uiPriority w:val="99"/>
    <w:unhideWhenUsed/>
    <w:rPr>
      <w:color w:val="0000ff"/>
      <w:u w:val="single"/>
    </w:rPr>
  </w:style>
  <w:style w:type="paragraph" w:styleId="830">
    <w:name w:val="footnote text"/>
    <w:basedOn w:val="654"/>
    <w:link w:val="860"/>
    <w:uiPriority w:val="99"/>
    <w:unhideWhenUsed/>
    <w:pPr>
      <w:spacing w:after="0" w:line="240" w:lineRule="auto"/>
    </w:pPr>
    <w:rPr>
      <w:sz w:val="20"/>
      <w:szCs w:val="20"/>
    </w:rPr>
  </w:style>
  <w:style w:type="character" w:styleId="831" w:customStyle="1">
    <w:name w:val="Footnote Text Char"/>
    <w:uiPriority w:val="99"/>
    <w:rPr>
      <w:sz w:val="18"/>
    </w:rPr>
  </w:style>
  <w:style w:type="character" w:styleId="832">
    <w:name w:val="footnote reference"/>
    <w:uiPriority w:val="99"/>
    <w:semiHidden/>
    <w:unhideWhenUsed/>
    <w:rPr>
      <w:vertAlign w:val="superscript"/>
    </w:rPr>
  </w:style>
  <w:style w:type="paragraph" w:styleId="833">
    <w:name w:val="endnote text"/>
    <w:basedOn w:val="654"/>
    <w:link w:val="85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34" w:customStyle="1">
    <w:name w:val="Endnote Text Char"/>
    <w:uiPriority w:val="99"/>
    <w:rPr>
      <w:sz w:val="20"/>
    </w:rPr>
  </w:style>
  <w:style w:type="character" w:styleId="835">
    <w:name w:val="endnote reference"/>
    <w:uiPriority w:val="99"/>
    <w:semiHidden/>
    <w:unhideWhenUsed/>
    <w:rPr>
      <w:vertAlign w:val="superscript"/>
    </w:rPr>
  </w:style>
  <w:style w:type="paragraph" w:styleId="836">
    <w:name w:val="toc 1"/>
    <w:basedOn w:val="654"/>
    <w:next w:val="654"/>
    <w:uiPriority w:val="39"/>
    <w:unhideWhenUsed/>
    <w:pPr>
      <w:spacing w:after="57"/>
    </w:pPr>
  </w:style>
  <w:style w:type="paragraph" w:styleId="837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38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39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0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1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2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3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4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5">
    <w:name w:val="TOC Heading"/>
    <w:uiPriority w:val="39"/>
    <w:unhideWhenUsed/>
    <w:rPr>
      <w:lang w:eastAsia="zh-CN"/>
    </w:rPr>
  </w:style>
  <w:style w:type="paragraph" w:styleId="846">
    <w:name w:val="table of figures"/>
    <w:basedOn w:val="654"/>
    <w:next w:val="654"/>
    <w:uiPriority w:val="99"/>
    <w:unhideWhenUsed/>
    <w:pPr>
      <w:spacing w:after="0"/>
    </w:pPr>
  </w:style>
  <w:style w:type="paragraph" w:styleId="847" w:customStyle="1">
    <w:name w:val="Заголовок 1;Заголовок 1 Знак Знак Знак Знак Знак"/>
    <w:basedOn w:val="654"/>
    <w:next w:val="654"/>
    <w:link w:val="956"/>
    <w:qFormat/>
    <w:pPr>
      <w:keepLines/>
      <w:keepNext/>
      <w:spacing w:before="480" w:after="0" w:line="240" w:lineRule="auto"/>
      <w:outlineLvl w:val="0"/>
    </w:pPr>
    <w:rPr>
      <w:rFonts w:ascii="Cambria" w:hAnsi="Cambria" w:eastAsia="Times New Roman"/>
      <w:b/>
      <w:bCs/>
      <w:color w:val="365f91"/>
      <w:sz w:val="28"/>
      <w:szCs w:val="28"/>
      <w:lang w:val="en-US" w:eastAsia="ru-RU"/>
    </w:rPr>
  </w:style>
  <w:style w:type="paragraph" w:styleId="848">
    <w:name w:val="Balloon Text"/>
    <w:basedOn w:val="654"/>
    <w:link w:val="84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9" w:customStyle="1">
    <w:name w:val="Текст выноски Знак"/>
    <w:link w:val="848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850" w:customStyle="1">
    <w:name w:val="ConsPlusTitle"/>
    <w:pPr>
      <w:widowControl w:val="off"/>
    </w:pPr>
    <w:rPr>
      <w:rFonts w:ascii="Arial" w:hAnsi="Arial" w:eastAsia="Times New Roman" w:cs="Arial"/>
      <w:b/>
      <w:bCs/>
      <w:sz w:val="24"/>
      <w:szCs w:val="24"/>
    </w:rPr>
  </w:style>
  <w:style w:type="character" w:styleId="851" w:customStyle="1">
    <w:name w:val="Верхний колонтитул Знак"/>
    <w:link w:val="697"/>
    <w:uiPriority w:val="99"/>
    <w:rPr>
      <w:sz w:val="22"/>
      <w:szCs w:val="22"/>
      <w:lang w:eastAsia="en-US"/>
    </w:rPr>
  </w:style>
  <w:style w:type="character" w:styleId="852" w:customStyle="1">
    <w:name w:val="Нижний колонтитул Знак"/>
    <w:link w:val="699"/>
    <w:uiPriority w:val="99"/>
    <w:rPr>
      <w:sz w:val="22"/>
      <w:szCs w:val="22"/>
      <w:lang w:eastAsia="en-US"/>
    </w:rPr>
  </w:style>
  <w:style w:type="paragraph" w:styleId="853">
    <w:name w:val="HTML Preformatted"/>
    <w:basedOn w:val="654"/>
    <w:link w:val="854"/>
    <w:unhideWhenUsed/>
    <w:rPr>
      <w:rFonts w:ascii="Courier New" w:hAnsi="Courier New" w:cs="Courier New"/>
      <w:sz w:val="20"/>
      <w:szCs w:val="20"/>
    </w:rPr>
  </w:style>
  <w:style w:type="character" w:styleId="854" w:customStyle="1">
    <w:name w:val="Стандартный HTML Знак"/>
    <w:link w:val="853"/>
    <w:rPr>
      <w:rFonts w:ascii="Courier New" w:hAnsi="Courier New" w:cs="Courier New"/>
      <w:lang w:eastAsia="en-US"/>
    </w:rPr>
  </w:style>
  <w:style w:type="numbering" w:styleId="855" w:customStyle="1">
    <w:name w:val="Нет списка1"/>
    <w:next w:val="666"/>
    <w:uiPriority w:val="99"/>
    <w:semiHidden/>
    <w:unhideWhenUsed/>
  </w:style>
  <w:style w:type="paragraph" w:styleId="856" w:customStyle="1">
    <w:name w:val="ConsPlusNormal"/>
    <w:link w:val="954"/>
    <w:qFormat/>
    <w:pPr>
      <w:widowControl w:val="off"/>
    </w:pPr>
    <w:rPr>
      <w:rFonts w:eastAsia="Times New Roman" w:cs="Calibri"/>
      <w:sz w:val="22"/>
    </w:rPr>
  </w:style>
  <w:style w:type="numbering" w:styleId="857" w:customStyle="1">
    <w:name w:val="Нет списка11"/>
    <w:next w:val="666"/>
    <w:uiPriority w:val="99"/>
    <w:semiHidden/>
    <w:unhideWhenUsed/>
  </w:style>
  <w:style w:type="paragraph" w:styleId="858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character" w:styleId="859" w:customStyle="1">
    <w:name w:val="Текст концевой сноски Знак"/>
    <w:link w:val="833"/>
    <w:uiPriority w:val="99"/>
    <w:semiHidden/>
    <w:rPr>
      <w:lang w:eastAsia="en-US"/>
    </w:rPr>
  </w:style>
  <w:style w:type="character" w:styleId="860" w:customStyle="1">
    <w:name w:val="Текст сноски Знак"/>
    <w:link w:val="830"/>
    <w:uiPriority w:val="99"/>
    <w:rPr>
      <w:lang w:eastAsia="en-US"/>
    </w:rPr>
  </w:style>
  <w:style w:type="table" w:styleId="861" w:customStyle="1">
    <w:name w:val="Сетка таблицы1"/>
    <w:basedOn w:val="665"/>
    <w:next w:val="703"/>
    <w:uiPriority w:val="59"/>
    <w:tblPr/>
  </w:style>
  <w:style w:type="paragraph" w:styleId="862" w:customStyle="1">
    <w:name w:val="formattext"/>
    <w:basedOn w:val="6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863">
    <w:name w:val="annotation reference"/>
    <w:uiPriority w:val="99"/>
    <w:semiHidden/>
    <w:unhideWhenUsed/>
    <w:rPr>
      <w:sz w:val="16"/>
      <w:szCs w:val="16"/>
    </w:rPr>
  </w:style>
  <w:style w:type="paragraph" w:styleId="864">
    <w:name w:val="annotation text"/>
    <w:basedOn w:val="654"/>
    <w:link w:val="865"/>
    <w:uiPriority w:val="99"/>
    <w:semiHidden/>
    <w:unhideWhenUsed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865" w:customStyle="1">
    <w:name w:val="Текст примечания Знак"/>
    <w:link w:val="864"/>
    <w:uiPriority w:val="99"/>
    <w:semiHidden/>
    <w:rPr>
      <w:rFonts w:ascii="Times New Roman" w:hAnsi="Times New Roman" w:eastAsia="Times New Roman"/>
    </w:rPr>
  </w:style>
  <w:style w:type="paragraph" w:styleId="866">
    <w:name w:val="annotation subject"/>
    <w:basedOn w:val="864"/>
    <w:next w:val="864"/>
    <w:link w:val="867"/>
    <w:uiPriority w:val="99"/>
    <w:semiHidden/>
    <w:unhideWhenUsed/>
    <w:rPr>
      <w:b/>
      <w:bCs/>
    </w:rPr>
  </w:style>
  <w:style w:type="character" w:styleId="867" w:customStyle="1">
    <w:name w:val="Тема примечания Знак"/>
    <w:link w:val="866"/>
    <w:uiPriority w:val="99"/>
    <w:semiHidden/>
    <w:rPr>
      <w:rFonts w:ascii="Times New Roman" w:hAnsi="Times New Roman" w:eastAsia="Times New Roman"/>
      <w:b/>
      <w:bCs/>
    </w:rPr>
  </w:style>
  <w:style w:type="character" w:styleId="868" w:customStyle="1">
    <w:name w:val="hl"/>
  </w:style>
  <w:style w:type="character" w:styleId="869" w:customStyle="1">
    <w:name w:val="nobr"/>
  </w:style>
  <w:style w:type="numbering" w:styleId="870" w:customStyle="1">
    <w:name w:val="Нет списка2"/>
    <w:next w:val="666"/>
    <w:uiPriority w:val="99"/>
    <w:semiHidden/>
    <w:unhideWhenUsed/>
  </w:style>
  <w:style w:type="table" w:styleId="871" w:customStyle="1">
    <w:name w:val="Сетка таблицы2"/>
    <w:basedOn w:val="665"/>
    <w:next w:val="703"/>
    <w:uiPriority w:val="39"/>
    <w:tblPr/>
  </w:style>
  <w:style w:type="character" w:styleId="872">
    <w:name w:val="FollowedHyperlink"/>
    <w:uiPriority w:val="99"/>
    <w:semiHidden/>
    <w:unhideWhenUsed/>
    <w:rPr>
      <w:color w:val="954f72"/>
      <w:u w:val="single"/>
    </w:rPr>
  </w:style>
  <w:style w:type="paragraph" w:styleId="873" w:customStyle="1">
    <w:name w:val="msonormal"/>
    <w:basedOn w:val="65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4" w:customStyle="1">
    <w:name w:val="font5"/>
    <w:basedOn w:val="654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75" w:customStyle="1">
    <w:name w:val="font6"/>
    <w:basedOn w:val="654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76" w:customStyle="1">
    <w:name w:val="font7"/>
    <w:basedOn w:val="654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877" w:customStyle="1">
    <w:name w:val="font8"/>
    <w:basedOn w:val="654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styleId="878" w:customStyle="1">
    <w:name w:val="xl63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79" w:customStyle="1">
    <w:name w:val="xl64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80" w:customStyle="1">
    <w:name w:val="xl65"/>
    <w:basedOn w:val="654"/>
    <w:pPr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1" w:customStyle="1">
    <w:name w:val="xl66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82" w:customStyle="1">
    <w:name w:val="xl67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883" w:customStyle="1">
    <w:name w:val="xl68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884" w:customStyle="1">
    <w:name w:val="xl69"/>
    <w:basedOn w:val="654"/>
    <w:pPr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5" w:customStyle="1">
    <w:name w:val="xl70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86" w:customStyle="1">
    <w:name w:val="xl71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887" w:customStyle="1">
    <w:name w:val="xl72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88" w:customStyle="1">
    <w:name w:val="xl73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89" w:customStyle="1">
    <w:name w:val="xl74"/>
    <w:basedOn w:val="654"/>
    <w:pPr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0" w:customStyle="1">
    <w:name w:val="xl75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91" w:customStyle="1">
    <w:name w:val="xl76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92" w:customStyle="1">
    <w:name w:val="xl77"/>
    <w:basedOn w:val="654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3" w:customStyle="1">
    <w:name w:val="xl78"/>
    <w:basedOn w:val="654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4" w:customStyle="1">
    <w:name w:val="xl79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95" w:customStyle="1">
    <w:name w:val="xl80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96" w:customStyle="1">
    <w:name w:val="xl81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97" w:customStyle="1">
    <w:name w:val="xl82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898" w:customStyle="1">
    <w:name w:val="xl83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899" w:customStyle="1">
    <w:name w:val="xl84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00" w:customStyle="1">
    <w:name w:val="xl85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01" w:customStyle="1">
    <w:name w:val="xl86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02" w:customStyle="1">
    <w:name w:val="xl87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03" w:customStyle="1">
    <w:name w:val="xl88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04" w:customStyle="1">
    <w:name w:val="xl89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05" w:customStyle="1">
    <w:name w:val="xl90"/>
    <w:basedOn w:val="654"/>
    <w:pPr>
      <w:jc w:val="right"/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/>
      <w:color w:val="000000"/>
      <w:sz w:val="28"/>
      <w:szCs w:val="28"/>
      <w:lang w:eastAsia="ru-RU"/>
    </w:rPr>
  </w:style>
  <w:style w:type="paragraph" w:styleId="906" w:customStyle="1">
    <w:name w:val="xl91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07" w:customStyle="1">
    <w:name w:val="xl92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08" w:customStyle="1">
    <w:name w:val="xl93"/>
    <w:basedOn w:val="654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28"/>
      <w:szCs w:val="28"/>
      <w:lang w:eastAsia="ru-RU"/>
    </w:rPr>
  </w:style>
  <w:style w:type="paragraph" w:styleId="909" w:customStyle="1">
    <w:name w:val="xl94"/>
    <w:basedOn w:val="654"/>
    <w:pPr>
      <w:jc w:val="both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10" w:customStyle="1">
    <w:name w:val="xl95"/>
    <w:basedOn w:val="654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11" w:customStyle="1">
    <w:name w:val="xl96"/>
    <w:basedOn w:val="654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12" w:customStyle="1">
    <w:name w:val="xl97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13" w:customStyle="1">
    <w:name w:val="xl98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14" w:customStyle="1">
    <w:name w:val="xl99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15" w:customStyle="1">
    <w:name w:val="xl100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916" w:customStyle="1">
    <w:name w:val="xl101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917" w:customStyle="1">
    <w:name w:val="xl102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18" w:customStyle="1">
    <w:name w:val="xl103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19" w:customStyle="1">
    <w:name w:val="xl104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20" w:customStyle="1">
    <w:name w:val="xl105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21" w:customStyle="1">
    <w:name w:val="xl106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22" w:customStyle="1">
    <w:name w:val="xl107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23" w:customStyle="1">
    <w:name w:val="xl108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24" w:customStyle="1">
    <w:name w:val="xl109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25" w:customStyle="1">
    <w:name w:val="xl110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26" w:customStyle="1">
    <w:name w:val="xl111"/>
    <w:basedOn w:val="654"/>
    <w:pPr>
      <w:jc w:val="both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27" w:customStyle="1">
    <w:name w:val="xl112"/>
    <w:basedOn w:val="654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28" w:customStyle="1">
    <w:name w:val="xl113"/>
    <w:basedOn w:val="654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29" w:customStyle="1">
    <w:name w:val="xl114"/>
    <w:basedOn w:val="654"/>
    <w:pPr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0" w:customStyle="1">
    <w:name w:val="xl115"/>
    <w:basedOn w:val="654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1" w:customStyle="1">
    <w:name w:val="xl116"/>
    <w:basedOn w:val="654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2" w:customStyle="1">
    <w:name w:val="xl117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3" w:customStyle="1">
    <w:name w:val="xl118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4" w:customStyle="1">
    <w:name w:val="xl119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5" w:customStyle="1">
    <w:name w:val="xl120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6" w:customStyle="1">
    <w:name w:val="xl121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37" w:customStyle="1">
    <w:name w:val="xl122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38" w:customStyle="1">
    <w:name w:val="xl123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39" w:customStyle="1">
    <w:name w:val="xl124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40" w:customStyle="1">
    <w:name w:val="xl125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41" w:customStyle="1">
    <w:name w:val="xl126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42" w:customStyle="1">
    <w:name w:val="xl127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43" w:customStyle="1">
    <w:name w:val="xl128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numbering" w:styleId="944" w:customStyle="1">
    <w:name w:val="Нет списка3"/>
    <w:next w:val="666"/>
    <w:uiPriority w:val="99"/>
    <w:semiHidden/>
    <w:unhideWhenUsed/>
  </w:style>
  <w:style w:type="paragraph" w:styleId="945" w:customStyle="1">
    <w:name w:val="xl129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styleId="946" w:customStyle="1">
    <w:name w:val="xl130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styleId="947" w:customStyle="1">
    <w:name w:val="xl131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styleId="948">
    <w:name w:val="Revision"/>
    <w:hidden/>
    <w:uiPriority w:val="99"/>
    <w:semiHidden/>
    <w:rPr>
      <w:sz w:val="22"/>
      <w:szCs w:val="22"/>
      <w:lang w:eastAsia="en-US"/>
    </w:rPr>
  </w:style>
  <w:style w:type="paragraph" w:styleId="949" w:customStyle="1">
    <w:name w:val="xl132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4"/>
      <w:szCs w:val="14"/>
      <w:lang w:eastAsia="ru-RU"/>
    </w:rPr>
  </w:style>
  <w:style w:type="paragraph" w:styleId="950" w:customStyle="1">
    <w:name w:val="xl133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4"/>
      <w:szCs w:val="14"/>
      <w:lang w:eastAsia="ru-RU"/>
    </w:rPr>
  </w:style>
  <w:style w:type="numbering" w:styleId="951" w:customStyle="1">
    <w:name w:val="Нет списка4"/>
    <w:next w:val="666"/>
    <w:uiPriority w:val="99"/>
    <w:semiHidden/>
    <w:unhideWhenUsed/>
  </w:style>
  <w:style w:type="character" w:styleId="952">
    <w:name w:val="Emphasis"/>
    <w:uiPriority w:val="20"/>
    <w:qFormat/>
    <w:rPr>
      <w:i/>
      <w:iCs/>
    </w:rPr>
  </w:style>
  <w:style w:type="numbering" w:styleId="953" w:customStyle="1">
    <w:name w:val="Нет списка5"/>
    <w:next w:val="666"/>
    <w:uiPriority w:val="99"/>
    <w:semiHidden/>
    <w:unhideWhenUsed/>
  </w:style>
  <w:style w:type="character" w:styleId="954" w:customStyle="1">
    <w:name w:val="ConsPlusNormal Знак"/>
    <w:link w:val="856"/>
    <w:rPr>
      <w:rFonts w:eastAsia="Times New Roman" w:cs="Calibri"/>
      <w:sz w:val="22"/>
    </w:rPr>
  </w:style>
  <w:style w:type="paragraph" w:styleId="955" w:customStyle="1">
    <w:name w:val="Обычный (веб);Знак Знак"/>
    <w:basedOn w:val="654"/>
    <w:link w:val="973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56" w:customStyle="1">
    <w:name w:val="Заголовок 1 Знак;Заголовок 1 Знак Знак Знак Знак Знак Знак"/>
    <w:link w:val="847"/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styleId="957" w:customStyle="1">
    <w:name w:val="Заголовок 3 Знак"/>
    <w:link w:val="657"/>
    <w:uiPriority w:val="9"/>
    <w:rPr>
      <w:rFonts w:ascii="Cambria" w:hAnsi="Cambria" w:eastAsia="Times New Roman"/>
      <w:b/>
      <w:bCs/>
      <w:sz w:val="26"/>
      <w:szCs w:val="26"/>
      <w:lang w:val="en-US"/>
    </w:rPr>
  </w:style>
  <w:style w:type="numbering" w:styleId="958" w:customStyle="1">
    <w:name w:val="Нет списка6"/>
    <w:next w:val="666"/>
    <w:uiPriority w:val="99"/>
    <w:semiHidden/>
    <w:unhideWhenUsed/>
  </w:style>
  <w:style w:type="paragraph" w:styleId="959">
    <w:name w:val="Body Text Indent"/>
    <w:basedOn w:val="654"/>
    <w:link w:val="960"/>
    <w:unhideWhenUsed/>
    <w:pPr>
      <w:ind w:firstLine="708"/>
      <w:jc w:val="both"/>
      <w:spacing w:after="0" w:line="24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960" w:customStyle="1">
    <w:name w:val="Основной текст с отступом Знак"/>
    <w:link w:val="959"/>
    <w:rPr>
      <w:rFonts w:ascii="Times New Roman" w:hAnsi="Times New Roman" w:eastAsia="Times New Roman"/>
      <w:sz w:val="24"/>
      <w:szCs w:val="24"/>
      <w:lang w:val="en-US"/>
    </w:rPr>
  </w:style>
  <w:style w:type="character" w:styleId="961" w:customStyle="1">
    <w:name w:val="Заголовок Знак"/>
    <w:link w:val="689"/>
    <w:rPr>
      <w:rFonts w:ascii="Times New Roman" w:hAnsi="Times New Roman" w:eastAsia="Times New Roman"/>
      <w:sz w:val="28"/>
      <w:szCs w:val="24"/>
      <w:lang w:val="en-US"/>
    </w:rPr>
  </w:style>
  <w:style w:type="paragraph" w:styleId="962">
    <w:name w:val="Body Text 2"/>
    <w:basedOn w:val="654"/>
    <w:link w:val="963"/>
    <w:uiPriority w:val="99"/>
    <w:unhideWhenUsed/>
    <w:pPr>
      <w:spacing w:after="120" w:line="48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963" w:customStyle="1">
    <w:name w:val="Основной текст 2 Знак"/>
    <w:link w:val="962"/>
    <w:uiPriority w:val="99"/>
    <w:rPr>
      <w:rFonts w:ascii="Times New Roman" w:hAnsi="Times New Roman" w:eastAsia="Times New Roman"/>
      <w:sz w:val="24"/>
      <w:szCs w:val="24"/>
      <w:lang w:val="en-US"/>
    </w:rPr>
  </w:style>
  <w:style w:type="paragraph" w:styleId="964">
    <w:name w:val="Body Text 3"/>
    <w:basedOn w:val="654"/>
    <w:link w:val="965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16"/>
      <w:szCs w:val="16"/>
      <w:lang w:val="en-US" w:eastAsia="ru-RU"/>
    </w:rPr>
  </w:style>
  <w:style w:type="character" w:styleId="965" w:customStyle="1">
    <w:name w:val="Основной текст 3 Знак"/>
    <w:link w:val="964"/>
    <w:uiPriority w:val="99"/>
    <w:semiHidden/>
    <w:rPr>
      <w:rFonts w:ascii="Times New Roman" w:hAnsi="Times New Roman" w:eastAsia="Times New Roman"/>
      <w:sz w:val="16"/>
      <w:szCs w:val="16"/>
      <w:lang w:val="en-US"/>
    </w:rPr>
  </w:style>
  <w:style w:type="paragraph" w:styleId="966">
    <w:name w:val="Body Text"/>
    <w:basedOn w:val="654"/>
    <w:link w:val="967"/>
    <w:pPr>
      <w:spacing w:after="120" w:line="24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967" w:customStyle="1">
    <w:name w:val="Основной текст Знак"/>
    <w:link w:val="966"/>
    <w:rPr>
      <w:rFonts w:ascii="Times New Roman" w:hAnsi="Times New Roman" w:eastAsia="Times New Roman"/>
      <w:sz w:val="24"/>
      <w:szCs w:val="24"/>
      <w:lang w:val="en-US"/>
    </w:rPr>
  </w:style>
  <w:style w:type="character" w:styleId="968">
    <w:name w:val="page number"/>
  </w:style>
  <w:style w:type="table" w:styleId="969" w:customStyle="1">
    <w:name w:val="Сетка таблицы3"/>
    <w:basedOn w:val="665"/>
    <w:next w:val="703"/>
    <w:uiPriority w:val="59"/>
    <w:tblPr/>
  </w:style>
  <w:style w:type="character" w:styleId="970" w:customStyle="1">
    <w:name w:val="Текст выноски Знак1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971" w:customStyle="1">
    <w:name w:val="Основной текст 3 Знак1"/>
    <w:uiPriority w:val="99"/>
    <w:semiHidden/>
    <w:rPr>
      <w:rFonts w:ascii="Times New Roman" w:hAnsi="Times New Roman" w:eastAsia="Times New Roman"/>
      <w:sz w:val="16"/>
      <w:szCs w:val="16"/>
    </w:rPr>
  </w:style>
  <w:style w:type="character" w:styleId="972">
    <w:name w:val="Strong"/>
    <w:uiPriority w:val="22"/>
    <w:qFormat/>
    <w:rPr>
      <w:b/>
      <w:bCs/>
    </w:rPr>
  </w:style>
  <w:style w:type="character" w:styleId="973" w:customStyle="1">
    <w:name w:val="Обычный (веб) Знак;Знак Знак Знак"/>
    <w:link w:val="955"/>
    <w:uiPriority w:val="99"/>
    <w:rPr>
      <w:rFonts w:ascii="Times New Roman" w:hAnsi="Times New Roman" w:eastAsia="Times New Roman"/>
      <w:sz w:val="24"/>
      <w:szCs w:val="24"/>
    </w:rPr>
  </w:style>
  <w:style w:type="paragraph" w:styleId="974" w:customStyle="1">
    <w:name w:val="ConsPlusCell"/>
    <w:uiPriority w:val="99"/>
    <w:pPr>
      <w:widowControl w:val="off"/>
    </w:pPr>
    <w:rPr>
      <w:rFonts w:ascii="Times New Roman" w:hAnsi="Times New Roman" w:eastAsia="Times New Roman"/>
      <w:sz w:val="28"/>
      <w:szCs w:val="28"/>
    </w:rPr>
  </w:style>
  <w:style w:type="paragraph" w:styleId="975" w:customStyle="1">
    <w:name w:val="Обычный1"/>
    <w:rPr>
      <w:rFonts w:ascii="Times New Roman" w:hAnsi="Times New Roman" w:eastAsia="Times New Roman"/>
      <w:sz w:val="24"/>
    </w:rPr>
  </w:style>
  <w:style w:type="paragraph" w:styleId="976" w:customStyle="1">
    <w:name w:val="Нормальный (таблица)"/>
    <w:basedOn w:val="654"/>
    <w:next w:val="654"/>
    <w:uiPriority w:val="99"/>
    <w:pPr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977" w:customStyle="1">
    <w:name w:val="Прижатый влево"/>
    <w:basedOn w:val="654"/>
    <w:next w:val="654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numbering" w:styleId="978" w:customStyle="1">
    <w:name w:val="Нет списка12"/>
    <w:next w:val="666"/>
    <w:uiPriority w:val="99"/>
    <w:semiHidden/>
    <w:unhideWhenUsed/>
  </w:style>
  <w:style w:type="numbering" w:styleId="979" w:customStyle="1">
    <w:name w:val="Нет списка111"/>
    <w:next w:val="666"/>
    <w:uiPriority w:val="99"/>
    <w:semiHidden/>
    <w:unhideWhenUsed/>
  </w:style>
  <w:style w:type="table" w:styleId="980" w:customStyle="1">
    <w:name w:val="Сетка таблицы11"/>
    <w:basedOn w:val="665"/>
    <w:next w:val="703"/>
    <w:uiPriority w:val="59"/>
    <w:rPr>
      <w:sz w:val="22"/>
      <w:szCs w:val="22"/>
      <w:lang w:eastAsia="en-US"/>
    </w:rPr>
    <w:tblPr/>
  </w:style>
  <w:style w:type="table" w:styleId="981" w:customStyle="1">
    <w:name w:val="Сетка таблицы21"/>
    <w:basedOn w:val="665"/>
    <w:next w:val="703"/>
    <w:uiPriority w:val="59"/>
    <w:tblPr/>
  </w:style>
  <w:style w:type="numbering" w:styleId="982" w:customStyle="1">
    <w:name w:val="Нет списка7"/>
    <w:next w:val="666"/>
    <w:uiPriority w:val="99"/>
    <w:semiHidden/>
    <w:unhideWhenUsed/>
  </w:style>
  <w:style w:type="table" w:styleId="983" w:customStyle="1">
    <w:name w:val="Сетка таблицы4"/>
    <w:basedOn w:val="665"/>
    <w:next w:val="703"/>
    <w:uiPriority w:val="59"/>
    <w:tblPr/>
  </w:style>
  <w:style w:type="numbering" w:styleId="984" w:customStyle="1">
    <w:name w:val="Нет списка13"/>
    <w:next w:val="666"/>
    <w:uiPriority w:val="99"/>
    <w:semiHidden/>
    <w:unhideWhenUsed/>
  </w:style>
  <w:style w:type="numbering" w:styleId="985" w:customStyle="1">
    <w:name w:val="Нет списка112"/>
    <w:next w:val="666"/>
    <w:uiPriority w:val="99"/>
    <w:semiHidden/>
    <w:unhideWhenUsed/>
  </w:style>
  <w:style w:type="table" w:styleId="986" w:customStyle="1">
    <w:name w:val="Сетка таблицы12"/>
    <w:basedOn w:val="665"/>
    <w:next w:val="703"/>
    <w:uiPriority w:val="59"/>
    <w:rPr>
      <w:sz w:val="22"/>
      <w:szCs w:val="22"/>
      <w:lang w:eastAsia="en-US"/>
    </w:rPr>
    <w:tblPr/>
  </w:style>
  <w:style w:type="table" w:styleId="987" w:customStyle="1">
    <w:name w:val="Сетка таблицы22"/>
    <w:basedOn w:val="665"/>
    <w:next w:val="703"/>
    <w:uiPriority w:val="59"/>
    <w:tblPr/>
  </w:style>
  <w:style w:type="paragraph" w:styleId="988" w:customStyle="1">
    <w:name w:val="Default"/>
    <w:rPr>
      <w:rFonts w:ascii="Times New Roman" w:hAnsi="Times New Roman"/>
      <w:color w:val="000000"/>
      <w:sz w:val="24"/>
      <w:szCs w:val="24"/>
    </w:rPr>
  </w:style>
  <w:style w:type="numbering" w:styleId="989" w:customStyle="1">
    <w:name w:val="Нет списка8"/>
    <w:next w:val="666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RLAW926&amp;n=264092&amp;dst=100051&amp;field=134&amp;date=15.01.2024" TargetMode="External"/><Relationship Id="rId11" Type="http://schemas.openxmlformats.org/officeDocument/2006/relationships/hyperlink" Target="https://login.consultant.ru/link/?req=doc&amp;base=RLAW926&amp;n=238526&amp;dst=102845&amp;field=134&amp;date=29.09.20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Татьяна Сергеевна</dc:creator>
  <cp:keywords/>
  <cp:revision>7</cp:revision>
  <dcterms:created xsi:type="dcterms:W3CDTF">2024-11-08T05:56:00Z</dcterms:created>
  <dcterms:modified xsi:type="dcterms:W3CDTF">2024-12-12T06:03:25Z</dcterms:modified>
  <cp:version>1048576</cp:version>
</cp:coreProperties>
</file>