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850"/>
        <w:jc w:val="center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Типичные нарушения при разработке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none"/>
        </w:rPr>
      </w:r>
      <w:r/>
    </w:p>
    <w:p>
      <w:pPr>
        <w:ind w:left="0" w:right="0" w:firstLine="850"/>
        <w:jc w:val="center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паспорта безопасности торгового объекта (территории)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  <w:r/>
    </w:p>
    <w:p>
      <w:pPr>
        <w:pStyle w:val="864"/>
        <w:numPr>
          <w:ilvl w:val="0"/>
          <w:numId w:val="2"/>
        </w:numPr>
        <w:ind w:left="0" w:right="0" w:firstLine="88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ru-RU" w:bidi="ru-RU"/>
        </w:rPr>
        <w:t xml:space="preserve">Ошибка: не заполнены какие-либо отметки о согласовании на титульном листе паспорта безопасности и отметка об утверждении, не соблюдена очередность направления паспорта безопасности на согласование. 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В соответствии с п. 21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Требований к антитеррористической защищенности торговых объектов (территорий), утвержденных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постановлением Правительства Российской Федерации от 19.10.2017 № 1273 (далее – Требования, Постановление № 1273)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паспорт безопасности составляется руководителем объекта на основании акта обследования и категорирования торгового объекта (территории) с учетом данных, предоставляемых членами комиссии в соответствии с их компетенцией, и утверждается правообладателем торг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ового объекта (территории) либо уполномоченным им должностным лицом.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</w:r>
      <w:r>
        <w:rPr>
          <w:highlight w:val="none"/>
        </w:rPr>
      </w:r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Паспорт безопасности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none"/>
        </w:rPr>
        <w:t xml:space="preserve">в течение 30 дней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со дня его составления подлежит согласованию с руководителями территориального органа безопасности, территориального органа Министерства Российской Федерации по делам гражданской обороны, чрезвычайным ситуациям и ликв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идации последствий стихийных бедствий,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ссийской Федерации по месту нахождения торгового объекта (территории) или уполномоченными ими должностными лицами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(далее – уполномоченные органы).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В соответствии с п. 22 Требований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паспорт безопасности составляется в 2 экземплярах.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Один экземпляр паспорта безопасности хранится в уполномоченном органе субъекта Российской Федерации, на территории которого расположен торговый объект (территория)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, т.е. в Департаменте экономического развития Ханты-Мансийского автономного округа – Югры. 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</w:r>
      <w:r>
        <w:rPr>
          <w:highlight w:val="none"/>
        </w:rPr>
      </w:r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Таким образом,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для согласования в Депэкономики Югры принимается паспорт после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none"/>
        </w:rPr>
        <w:t xml:space="preserve">утверждения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 правообладателем и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none"/>
        </w:rPr>
        <w:t xml:space="preserve">согласования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с руководителями территориального органа безопасности, территориального органа Министерства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 Российской Федерации по делам гражданской обороны, чрезвычайным ситуациям и ликвидации последствий стихийных бедствий, территориального органа Федеральной службы войск национальной гвардии Российской Федерации или подразделения вневедомственной охраны вой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ск национальной гвардии Российской Федерации.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left="0" w:right="0" w:firstLine="850"/>
        <w:jc w:val="both"/>
        <w:spacing w:before="0" w:after="0" w:afterAutospacing="0" w:line="240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Информацию, подт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верждающую дату направления паспорта безопасности на согласование (трек номер почтового отправления, сообщение о доставке по электронной почте и др.) необходимо сохранять в течение трех лет в целях подтверждения исполнения указанных требований проверяющим.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</w:r>
      <w:r>
        <w:rPr>
          <w:highlight w:val="none"/>
        </w:rPr>
      </w:r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t xml:space="preserve">После согласования первый экземпляр паспорта остаётся в Депэкономики Югры, второй – направляется обратно правообладателю.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t xml:space="preserve"> Паспорт направляется почтовым направлением с уведомлением о вручении. В связи с чем, при направлении паспортов безопасности в Депэкономики Югры в сопроводительном письме необходимо указать получателя и его адрес.</w:t>
      </w:r>
      <w:r>
        <w:rPr>
          <w:highlight w:val="none"/>
        </w:rPr>
      </w:r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В соответствии с п. 22 Требований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заверенные правообладателем коп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ии (электронные копии) согласованного и утверждённого паспорта безопасности направляются в территориальный орган безопасности, территориальный орган Министерства Российской Федерации по делам гражданской обороны, чрезвычайным ситуациям и ликвидации последс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твий стихийных бедствий и территориальный орган Федеральной службы войск национальной гвардии Российской Федерации по месту нахождения торгового объекта (территории).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Информацию, подтверждающую направление копий паспортов (трек номер почтового отправления, сообщение о доставке по электронной почте и др.) необходимо сохранять в течение трех лет в целях подтверждения исполнения указанных требований проверяющим.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2. Ошибка: дата утверждения паспорта правообладателем позднее чем дата согласования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уполномоченными органами.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В соответствии с п. 21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Требований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паспорт безопасности сначала утверждается правообладате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лем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, после чего направляется на согласование.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В связи с изложенным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дата утверждения паспорта не может быть позднее даты согласования.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</w:r>
      <w:r>
        <w:rPr>
          <w:highlight w:val="none"/>
        </w:rPr>
      </w:r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2.1. Ошибка: паспорт направлен на согласование с заранее проставленными датами согласования уполномоченными органами.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</w:r>
      <w:r>
        <w:rPr>
          <w:highlight w:val="none"/>
        </w:rPr>
      </w:r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Не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допускается самостоятельное проставление дат правообладателем при направлении на согласование, дата указывается непосредственно согласующим должностным лицом уполномоченного органа в момент согласования.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3. Ошибка: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установлен срок действия паспорта безопасности.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Требованиями к форме паспорта безопасности, утвержденной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1273,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установлен срок действия паспорта безопасности.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Паспорт безопасности подлежит актуализации по причинам, указанным в п. 25 Требований, либо корректировке. 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связи с изложенным проставление срока действия паспорта противоречит Постановлению № 1273.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Ошибка: в качестве правообладателей торгового объекта указаны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лица, которые не являются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собственником или арендатором, а, например,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отвечают за безопасность в торговом объекте и (или) включены в состав комиссии по обследованию и категорированию торгового объекта,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либо иные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лица, не указанные в акте обследовани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я в качестве правообладателей.</w:t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В соответствии с п.п. 17, 18 Требований в ходе своей работы комиссия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осуществляет сбор и анализ исходных данных о торговом объекте (территории), в том числе сведений из выписок из Единого государственного реестра недвижимости, договоров аренды, других документов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о собственниках торгового объекта,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его арендаторах и полномочиях по обеспечению антитеррористической защищенности торгового объекта.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 Результаты работы комиссии оформляются актом обследования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Таким образом, информация о правообладателе торгового объекта в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паспорте безопасности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указывается в соответствии с актом обследования.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:lang w:val="ru-RU" w:bidi="ru-RU"/>
          <w14:ligatures w14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Обращаю внимание, что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в случаях, когда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 земельный участок,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здание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, строение и сооружение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используются для размещения торговых объектов (территорий), принадлежащих нескольким правообладателям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 торговых объектов (территорий),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составление паспорта безопасности осуществляется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 совместно всеми руководителями объектов или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по соглашению между правообладателями торговых объектов (территорий) одним из руководителей объекта (п. 24 Требований)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В соответствии с пунктом 3 Требован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ий ответственность за обеспечение антитеррористической защищенности торговых объектов (территорий) возлагается на юридических и физических лиц, владеющих на праве собственности, хозяйственного ведения или оперативного управления земельными участками, здани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ями, строениями, сооружениями и помещениями, используемыми для размещения торговых объектов (территорий), или использующих земельные участки, здания, строения, сооружения и помещения для размещения торговых объектов (территорий) на ином законном основании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(далее - правообладатели торговых объектов (те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рриторий), а также на должностных лиц, осуществляющих непосредственное руководство деятельностью работников торговых объектов (территорий) (далее - руководитель объекта). То есть к правообладателям относятся также и арендаторы помещений в торговом объекте.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:lang w:val="ru-RU" w:bidi="ru-RU"/>
          <w14:ligatures w14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Таким образом,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в случаях, когда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 торговый объект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принадлежит нескольким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 собственникам, в целях обеспечения антитеррористической защищенности в торговом объекте, собстве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нникам торгового объекта целесообразно принять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совместное решение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, на кого из собственников возлагается ответственность за обеспечение антитеррористической защищенности торговых объектов (территорий), т.е. кто будет указан правообладателями в акте обследов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ания и в паспорте, а также назначить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должностное лицо, осуществляющее непосредственное руководство деятельностью работников торговых объектов.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</w:r>
      <w:r/>
    </w:p>
    <w:p>
      <w:pPr>
        <w:ind w:left="0" w:right="0" w:firstLine="72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i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:lang w:val="ru-RU" w:bidi="ru-RU"/>
          <w14:ligatures w14:val="none"/>
        </w:rPr>
        <w:t xml:space="preserve">Кроме того в договорах с арендаторами помещений необходимо отражать, на кого возлагается ответственность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за обеспечение антитеррористической защищенности торгового объекта, т.е. включены ли расходы на эти цели в арендную плату. В случае, если такие обязанности между арендаторами и арендодателями не распределены, арендаторы также должны участвовать в принятии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совместного решения.</w:t>
      </w:r>
      <w:r>
        <w:rPr>
          <w:highlight w:val="none"/>
        </w:rPr>
      </w:r>
      <w:r/>
    </w:p>
    <w:p>
      <w:pPr>
        <w:ind w:left="0" w:right="0" w:firstLine="72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:lang w:val="ru-RU" w:bidi="ru-RU"/>
          <w14:ligatures w14:val="none"/>
        </w:rPr>
        <w:t xml:space="preserve">Подтверждающий </w:t>
      </w:r>
      <w:r>
        <w:rPr>
          <w:rFonts w:ascii="Times New Roman" w:hAnsi="Times New Roman" w:eastAsia="Times New Roman" w:cs="Times New Roman"/>
          <w:b/>
          <w:bCs/>
          <w:i w:val="0"/>
          <w:color w:val="000000"/>
          <w:sz w:val="28"/>
          <w:szCs w:val="28"/>
          <w:highlight w:val="none"/>
          <w:lang w:val="ru-RU" w:bidi="ru-RU"/>
          <w14:ligatures w14:val="none"/>
        </w:rPr>
        <w:t xml:space="preserve">совместное решение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:lang w:val="ru-RU" w:bidi="ru-RU"/>
          <w14:ligatures w14:val="none"/>
        </w:rPr>
        <w:t xml:space="preserve"> документ (протокол общего собрания (соглашение), подписанный всеми участниками) необходимо предоставить комиссии в ходе обследования.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:lang w:val="ru-RU" w:bidi="ru-RU"/>
          <w14:ligatures w14:val="none"/>
        </w:rPr>
      </w:r>
      <w:r/>
    </w:p>
    <w:p>
      <w:pPr>
        <w:ind w:left="0" w:right="0" w:firstLine="72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</w:r>
      <w:r/>
    </w:p>
    <w:p>
      <w:pPr>
        <w:ind w:left="0" w:right="0" w:firstLine="72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5. Ошибка: раздел 2 формы паспорта безопасности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 «Сведения об объектах, расположенных на торговом объекте (территории)»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, утвержденной Постановлением № 1273, либо не заполнен, либо в него включен только один магазин, занимающий большую часть площади торгового объекта.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Раздел 2 паспорта безопасности должен содержать информацию о всех объектах, осуществляющих какую-либо деятельность в торговом объекте.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</w:r>
      <w:r/>
    </w:p>
    <w:p>
      <w:pPr>
        <w:ind w:left="0" w:right="0" w:firstLine="72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</w:r>
      <w:r/>
    </w:p>
    <w:p>
      <w:pPr>
        <w:ind w:left="0" w:right="0" w:firstLine="72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6. Ошибка: не указываются сведения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о потенциально опасных участках торгового объекта (Раздел 6 формы паспорта безопасности).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</w:r>
      <w:r/>
    </w:p>
    <w:p>
      <w:pPr>
        <w:ind w:left="0" w:right="0" w:firstLine="720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К потенциально опасным участкам можно отнести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lang w:val="ru-RU" w:bidi="ru-RU"/>
        </w:rPr>
        <w:t xml:space="preserve">уч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астки объекта (территории), совершение террористического акта на которых может привести к возникновению ситуаций с социально-экономическими последствиями, например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расходы на аварийно-восстановительные работы, эвакуацию и расселение, питание и обслуживание пострадавших, выплаты им единовременной материальной помощи и т.п.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:lang w:val="ru-RU" w:bidi="ru-RU"/>
          <w14:ligatures w14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Таким образом,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качестве </w:t>
      </w:r>
      <w:r>
        <w:rPr>
          <w:rFonts w:ascii="Times New Roman" w:hAnsi="Times New Roman" w:cs="Times New Roman"/>
          <w:sz w:val="28"/>
          <w:szCs w:val="28"/>
        </w:rPr>
        <w:t xml:space="preserve">потенциально опасных участков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рассматриваются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зоны наибольшего скопления людей на объекте (парковки, коридоры, залы или зоны ожидания, торговые залы, зрит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ельские трибуны, средства временного размещения людей и т.п.)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 Ошибка: </w:t>
      </w: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</w:rPr>
        <w:t xml:space="preserve">план-схема торгового объекта (территории)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являющаяся приложением к паспорту безопасности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выполнена без привязки к местности, т.е. на схеме схематично нанесены только контуры торгового объекта.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</w:rPr>
        <w:t xml:space="preserve">Согласно приложению 2 к форме паспорта безопасности на план схеме торговый объект должен быть указан в</w:t>
      </w: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</w:rPr>
        <w:t xml:space="preserve"> привязке к местности. </w:t>
      </w: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  <w14:ligatures w14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</w:rPr>
        <w:t xml:space="preserve">Таким образом, при указании на </w:t>
      </w: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</w:rPr>
        <w:t xml:space="preserve">План-схеме торгового объекта</w:t>
      </w: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</w:rPr>
        <w:t xml:space="preserve"> необходимо также указывать местность в которой расположен торговый объект (улицы, проспекты и т.д.), а также прилегающие территории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(площади, скверы, здание). Возможно использование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поисково-информационны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х картографических сервисов в информационно-коммуникационной сети «Интернет» (схемы, спутниковые снимки, спутниковые снимки с надписями и условными обозначениями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).</w:t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8. Ошибка: на </w:t>
      </w: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</w:rPr>
        <w:t xml:space="preserve">План-схеме торгового объекта (территории)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являющейся приложением к паспорту безопасности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не указана информация о </w:t>
      </w: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</w:rPr>
        <w:t xml:space="preserve">находящихся на территории торгового </w:t>
      </w: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</w:rPr>
        <w:t xml:space="preserve">объекта (территории) </w:t>
      </w: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</w:rPr>
        <w:t xml:space="preserve">мусорны</w:t>
      </w: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</w:rPr>
        <w:t xml:space="preserve">х контейнеров.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Допускается нанесение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план-схему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отметки нахождения мусорных контейнеров от руки.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9. Ошибка: к паспорту безопасности не прикладывается инструкция по эвакуации людей (приложение 4 к форме паспорта безопасности).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Приложение: порядок разработки (заполнения) паспорта безопасности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>
        <w:pos w:val="pageBottom"/>
      </w:footnotePr>
      <w:endnotePr/>
      <w:type w:val="nextPage"/>
      <w:pgSz w:w="11907" w:h="16840" w:orient="portrait"/>
      <w:pgMar w:top="1418" w:right="1418" w:bottom="1418" w:left="1588" w:header="397" w:footer="397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sz w:val="20"/>
          <w:szCs w:val="20"/>
          <w:lang w:val="ru-RU" w:bidi="ru-RU"/>
        </w:rPr>
      </w:pPr>
      <w:r>
        <w:rPr>
          <w:rFonts w:ascii="Arial" w:hAnsi="Arial" w:eastAsia="Arial" w:cs="Arial"/>
          <w:sz w:val="20"/>
          <w:szCs w:val="20"/>
          <w:lang w:val="ru-RU" w:bidi="ru-RU"/>
        </w:rPr>
        <w:separator/>
      </w:r>
      <w:r/>
    </w:p>
  </w:endnote>
  <w:endnote w:type="continuationSeparator" w:id="0"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sz w:val="20"/>
          <w:szCs w:val="20"/>
          <w:lang w:val="ru-RU" w:bidi="ru-RU"/>
        </w:rPr>
      </w:pPr>
      <w:r>
        <w:rPr>
          <w:rFonts w:ascii="Arial" w:hAnsi="Arial" w:eastAsia="Arial" w:cs="Arial"/>
          <w:sz w:val="20"/>
          <w:szCs w:val="20"/>
          <w:lang w:val="ru-RU" w:bidi="ru-RU"/>
        </w:rP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,">
    <w:panose1 w:val="020B0603030804020204"/>
  </w:font>
  <w:font w:name="Liberation Serif">
    <w:panose1 w:val="02020603050405020304"/>
  </w:font>
  <w:font w:name="Courier New">
    <w:panose1 w:val="02070409020205020404"/>
  </w:font>
  <w:font w:name="Times New Roman">
    <w:panose1 w:val="02020603050405020304"/>
  </w:font>
  <w:font w:name="NSimSun">
    <w:panose1 w:val="02020603020101020101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sz w:val="20"/>
          <w:szCs w:val="20"/>
          <w:lang w:val="ru-RU" w:bidi="ru-RU"/>
        </w:rPr>
      </w:pPr>
      <w:r>
        <w:rPr>
          <w:rFonts w:ascii="Arial" w:hAnsi="Arial" w:eastAsia="Arial" w:cs="Arial"/>
          <w:sz w:val="20"/>
          <w:szCs w:val="20"/>
          <w:lang w:val="ru-RU" w:bidi="ru-RU"/>
        </w:rPr>
        <w:separator/>
      </w:r>
      <w:r/>
    </w:p>
  </w:footnote>
  <w:footnote w:type="continuationSeparator" w:id="0"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sz w:val="20"/>
          <w:szCs w:val="20"/>
          <w:lang w:val="ru-RU" w:bidi="ru-RU"/>
        </w:rPr>
      </w:pPr>
      <w:r>
        <w:rPr>
          <w:rFonts w:ascii="Arial" w:hAnsi="Arial" w:eastAsia="Arial" w:cs="Arial"/>
          <w:sz w:val="20"/>
          <w:szCs w:val="20"/>
          <w:lang w:val="ru-RU" w:bidi="ru-RU"/>
        </w:rP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jc w:val="center"/>
    </w:pPr>
    <w:fldSimple w:instr="PAGE \* MERGEFORMAT">
      <w:r>
        <w:t xml:space="preserve">2</w:t>
      </w:r>
    </w:fldSimple>
    <w:r/>
    <w:r/>
  </w:p>
  <w:p>
    <w:pPr>
      <w:pStyle w:val="8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47"/>
    <w:link w:val="860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847"/>
    <w:link w:val="861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847"/>
    <w:link w:val="862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847"/>
    <w:link w:val="863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5"/>
    <w:next w:val="845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5"/>
    <w:next w:val="84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7"/>
    <w:link w:val="689"/>
    <w:uiPriority w:val="10"/>
    <w:rPr>
      <w:sz w:val="48"/>
      <w:szCs w:val="48"/>
    </w:rPr>
  </w:style>
  <w:style w:type="paragraph" w:styleId="691">
    <w:name w:val="Subtitle"/>
    <w:basedOn w:val="845"/>
    <w:next w:val="84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7"/>
    <w:link w:val="691"/>
    <w:uiPriority w:val="11"/>
    <w:rPr>
      <w:sz w:val="24"/>
      <w:szCs w:val="24"/>
    </w:rPr>
  </w:style>
  <w:style w:type="paragraph" w:styleId="693">
    <w:name w:val="Quote"/>
    <w:basedOn w:val="845"/>
    <w:next w:val="845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5"/>
    <w:next w:val="845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7"/>
    <w:link w:val="849"/>
    <w:uiPriority w:val="99"/>
  </w:style>
  <w:style w:type="character" w:styleId="698">
    <w:name w:val="Footer Char"/>
    <w:basedOn w:val="847"/>
    <w:link w:val="850"/>
    <w:uiPriority w:val="99"/>
  </w:style>
  <w:style w:type="paragraph" w:styleId="699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850"/>
    <w:uiPriority w:val="99"/>
  </w:style>
  <w:style w:type="table" w:styleId="701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7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7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846">
    <w:name w:val="Heading 1"/>
    <w:basedOn w:val="845"/>
    <w:pPr>
      <w:ind w:left="0" w:right="0"/>
      <w:jc w:val="center"/>
      <w:spacing w:before="108" w:after="108" w:line="240" w:lineRule="auto"/>
      <w:outlineLvl w:val="0"/>
    </w:pPr>
    <w:rPr>
      <w:rFonts w:ascii="Times New Roman" w:hAnsi="Times New Roman" w:eastAsia="Times New Roman" w:cs="Times New Roman"/>
      <w:b/>
      <w:bCs/>
      <w:color w:val="000000"/>
      <w:sz w:val="24"/>
      <w:szCs w:val="24"/>
      <w:lang w:val="ru-RU" w:bidi="ru-RU"/>
    </w:rPr>
  </w:style>
  <w:style w:type="character" w:styleId="847" w:default="1">
    <w:name w:val="Default Paragraph Font"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848" w:default="1">
    <w:name w:val="Normal Table"/>
    <w:semiHidden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  <w:lang w:val="ru-RU" w:bidi="ru-RU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CellMar>
        <w:left w:w="108" w:type="dxa"/>
        <w:right w:w="108" w:type="dxa"/>
      </w:tblCellMar>
    </w:tblPr>
  </w:style>
  <w:style w:type="paragraph" w:styleId="849">
    <w:name w:val="Header"/>
    <w:basedOn w:val="845"/>
    <w:pPr>
      <w:ind w:left="0" w:right="0"/>
      <w:jc w:val="left"/>
      <w:spacing w:before="0"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850">
    <w:name w:val="Footer"/>
    <w:basedOn w:val="845"/>
    <w:pPr>
      <w:ind w:left="0" w:right="0"/>
      <w:jc w:val="left"/>
      <w:spacing w:before="0"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851">
    <w:name w:val="Заголовок №1 + Интервал -1 pt"/>
    <w:basedOn w:val="847"/>
    <w:rPr>
      <w:rFonts w:ascii="Times New Roman" w:hAnsi="Times New Roman" w:eastAsia="Times New Roman" w:cs="Times New Roman"/>
      <w:spacing w:val="-20"/>
      <w:sz w:val="21"/>
      <w:szCs w:val="21"/>
      <w:lang w:val="ru-RU" w:bidi="ru-RU"/>
    </w:rPr>
  </w:style>
  <w:style w:type="character" w:styleId="852">
    <w:name w:val="Основной текст (11)"/>
    <w:basedOn w:val="847"/>
    <w:rPr>
      <w:rFonts w:ascii="Times New Roman" w:hAnsi="Times New Roman" w:eastAsia="Times New Roman" w:cs="Times New Roman"/>
      <w:sz w:val="14"/>
      <w:szCs w:val="14"/>
      <w:lang w:val="ru-RU" w:bidi="ru-RU"/>
    </w:rPr>
  </w:style>
  <w:style w:type="paragraph" w:styleId="853">
    <w:name w:val="Основной текст (2)"/>
    <w:basedOn w:val="845"/>
    <w:pPr>
      <w:ind w:left="0" w:right="0"/>
      <w:jc w:val="center"/>
      <w:spacing w:before="0" w:after="360" w:line="254" w:lineRule="exact"/>
      <w:shd w:val="clear" w:color="auto" w:fill="ffffff"/>
    </w:pPr>
    <w:rPr>
      <w:rFonts w:ascii="Times New Roman" w:hAnsi="Times New Roman" w:eastAsia="Times New Roman" w:cs="Times New Roman"/>
      <w:b/>
      <w:bCs/>
      <w:sz w:val="22"/>
      <w:szCs w:val="22"/>
      <w:lang w:val="ru-RU" w:bidi="ru-RU"/>
    </w:rPr>
  </w:style>
  <w:style w:type="paragraph" w:styleId="854">
    <w:name w:val="Основной текст (3)"/>
    <w:basedOn w:val="845"/>
    <w:pPr>
      <w:ind w:left="0" w:right="0"/>
      <w:jc w:val="center"/>
      <w:spacing w:before="360" w:after="2520" w:line="24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18"/>
      <w:szCs w:val="18"/>
      <w:lang w:val="ru-RU" w:bidi="ru-RU"/>
    </w:rPr>
  </w:style>
  <w:style w:type="paragraph" w:styleId="855">
    <w:name w:val="Основной текст (11)1"/>
    <w:basedOn w:val="845"/>
    <w:pPr>
      <w:ind w:left="0" w:right="0" w:hanging="1720"/>
      <w:jc w:val="right"/>
      <w:spacing w:before="0" w:after="420" w:line="187" w:lineRule="exact"/>
      <w:shd w:val="clear" w:color="auto" w:fill="ffffff"/>
    </w:pPr>
    <w:rPr>
      <w:rFonts w:ascii="Times New Roman" w:hAnsi="Times New Roman" w:eastAsia="Times New Roman" w:cs="Times New Roman"/>
      <w:sz w:val="14"/>
      <w:szCs w:val="14"/>
      <w:lang w:val="ru-RU" w:bidi="ru-RU"/>
    </w:rPr>
  </w:style>
  <w:style w:type="paragraph" w:styleId="856">
    <w:name w:val="Заголовок №1"/>
    <w:basedOn w:val="845"/>
    <w:pPr>
      <w:ind w:left="0" w:right="0"/>
      <w:jc w:val="left"/>
      <w:spacing w:before="60" w:after="240" w:line="240" w:lineRule="atLeast"/>
      <w:shd w:val="clear" w:color="auto" w:fill="ffffff"/>
      <w:outlineLvl w:val="0"/>
    </w:pPr>
    <w:rPr>
      <w:rFonts w:ascii="Times New Roman" w:hAnsi="Times New Roman" w:eastAsia="Times New Roman" w:cs="Times New Roman"/>
      <w:spacing w:val="10"/>
      <w:sz w:val="21"/>
      <w:szCs w:val="21"/>
      <w:lang w:val="ru-RU" w:bidi="ru-RU"/>
    </w:rPr>
  </w:style>
  <w:style w:type="paragraph" w:styleId="857">
    <w:name w:val="ConsPlusCell"/>
    <w:pPr>
      <w:ind w:left="0" w:right="0"/>
      <w:jc w:val="left"/>
      <w:spacing w:before="0" w:after="0" w:line="240" w:lineRule="auto"/>
    </w:pPr>
    <w:rPr>
      <w:rFonts w:ascii="Arial" w:hAnsi="Arial" w:eastAsia="Arial" w:cs="Arial"/>
      <w:sz w:val="20"/>
      <w:szCs w:val="20"/>
      <w:lang w:val="ru-RU" w:bidi="ru-RU"/>
    </w:rPr>
  </w:style>
  <w:style w:type="paragraph" w:styleId="858">
    <w:name w:val="ConsPlusNonformat"/>
    <w:pPr>
      <w:ind w:left="0" w:right="0"/>
      <w:jc w:val="left"/>
      <w:spacing w:before="0" w:after="0" w:line="240" w:lineRule="auto"/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859">
    <w:name w:val="Body Text"/>
    <w:basedOn w:val="845"/>
    <w:pPr>
      <w:ind w:left="125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7"/>
      <w:szCs w:val="27"/>
      <w:lang w:val="ru-RU" w:bidi="ru-RU"/>
    </w:rPr>
  </w:style>
  <w:style w:type="paragraph" w:styleId="860">
    <w:name w:val="Heading 1"/>
    <w:basedOn w:val="845"/>
    <w:pPr>
      <w:ind w:left="0" w:right="0"/>
      <w:jc w:val="left"/>
      <w:spacing w:before="0" w:after="0" w:line="240" w:lineRule="auto"/>
      <w:outlineLvl w:val="0"/>
    </w:pPr>
    <w:rPr>
      <w:rFonts w:ascii="Courier New" w:hAnsi="Courier New" w:eastAsia="Courier New" w:cs="Courier New"/>
      <w:b/>
      <w:bCs/>
      <w:sz w:val="31"/>
      <w:szCs w:val="31"/>
      <w:lang w:val="ru-RU" w:bidi="ru-RU"/>
    </w:rPr>
  </w:style>
  <w:style w:type="paragraph" w:styleId="861">
    <w:name w:val="Heading 2"/>
    <w:basedOn w:val="845"/>
    <w:pPr>
      <w:ind w:left="0" w:right="0"/>
      <w:jc w:val="left"/>
      <w:spacing w:before="0" w:after="0" w:line="240" w:lineRule="auto"/>
      <w:outlineLvl w:val="1"/>
    </w:pPr>
    <w:rPr>
      <w:rFonts w:ascii="Courier New" w:hAnsi="Courier New" w:eastAsia="Courier New" w:cs="Courier New"/>
      <w:sz w:val="31"/>
      <w:szCs w:val="31"/>
      <w:lang w:val="ru-RU" w:bidi="ru-RU"/>
    </w:rPr>
  </w:style>
  <w:style w:type="paragraph" w:styleId="862">
    <w:name w:val="Heading 3"/>
    <w:basedOn w:val="845"/>
    <w:pPr>
      <w:ind w:left="42" w:right="0"/>
      <w:jc w:val="left"/>
      <w:spacing w:before="0" w:after="0" w:line="240" w:lineRule="auto"/>
      <w:outlineLvl w:val="2"/>
    </w:pPr>
    <w:rPr>
      <w:rFonts w:ascii="Courier New" w:hAnsi="Courier New" w:eastAsia="Courier New" w:cs="Courier New"/>
      <w:sz w:val="29"/>
      <w:szCs w:val="29"/>
      <w:lang w:val="ru-RU" w:bidi="ru-RU"/>
    </w:rPr>
  </w:style>
  <w:style w:type="paragraph" w:styleId="863">
    <w:name w:val="Heading 4"/>
    <w:basedOn w:val="845"/>
    <w:pPr>
      <w:ind w:left="111" w:right="0"/>
      <w:jc w:val="left"/>
      <w:spacing w:before="0" w:after="0" w:line="240" w:lineRule="auto"/>
      <w:outlineLvl w:val="3"/>
    </w:pPr>
    <w:rPr>
      <w:rFonts w:ascii="Times New Roman" w:hAnsi="Times New Roman" w:eastAsia="Times New Roman" w:cs="Times New Roman"/>
      <w:b/>
      <w:bCs/>
      <w:sz w:val="27"/>
      <w:szCs w:val="27"/>
      <w:lang w:val="ru-RU" w:bidi="ru-RU"/>
    </w:rPr>
  </w:style>
  <w:style w:type="paragraph" w:styleId="864">
    <w:name w:val="List Paragraph"/>
    <w:basedOn w:val="845"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865">
    <w:name w:val="Table Paragraph"/>
    <w:basedOn w:val="845"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character" w:styleId="866">
    <w:name w:val="Font Style32"/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867">
    <w:name w:val="Body Text Indent 2"/>
    <w:basedOn w:val="845"/>
    <w:pPr>
      <w:ind w:left="0" w:right="0" w:firstLine="708"/>
      <w:jc w:val="both"/>
      <w:spacing w:before="0" w:after="0" w:line="240" w:lineRule="auto"/>
      <w:tabs>
        <w:tab w:val="left" w:pos="1120" w:leader="none"/>
      </w:tabs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868">
    <w:name w:val="Таблицы (моноширинный)"/>
    <w:basedOn w:val="845"/>
    <w:pPr>
      <w:ind w:left="0" w:right="0"/>
      <w:jc w:val="both"/>
      <w:spacing w:before="0" w:after="0" w:line="240" w:lineRule="auto"/>
    </w:pPr>
    <w:rPr>
      <w:rFonts w:ascii="Times New Roman" w:hAnsi="Times New Roman" w:eastAsia="Times New Roman" w:cs="Times New Roman"/>
      <w:sz w:val="22"/>
      <w:szCs w:val="22"/>
      <w:lang w:val="ru-RU" w:bidi="ru-RU"/>
    </w:rPr>
  </w:style>
  <w:style w:type="character" w:styleId="869">
    <w:name w:val="Цветовое выделение"/>
    <w:rPr>
      <w:rFonts w:ascii="Times New Roman" w:hAnsi="Times New Roman" w:eastAsia="Times New Roman" w:cs="Times New Roman"/>
      <w:b/>
      <w:bCs/>
      <w:sz w:val="24"/>
      <w:szCs w:val="24"/>
      <w:lang w:val="ru-RU" w:bidi="ru-RU"/>
    </w:rPr>
  </w:style>
  <w:style w:type="paragraph" w:styleId="870">
    <w:name w:val="Нормальный (таблица)"/>
    <w:basedOn w:val="845"/>
    <w:pPr>
      <w:ind w:left="0" w:right="0"/>
      <w:jc w:val="both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871">
    <w:name w:val="Прижатый влево"/>
    <w:basedOn w:val="845"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872">
    <w:name w:val="Style18"/>
    <w:basedOn w:val="845"/>
    <w:pPr>
      <w:ind w:left="0" w:right="0"/>
      <w:jc w:val="left"/>
      <w:spacing w:before="0" w:after="0" w:line="325" w:lineRule="exact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873">
    <w:name w:val="ConsNormal"/>
    <w:pPr>
      <w:ind w:left="0" w:right="19772"/>
      <w:jc w:val="both"/>
      <w:spacing w:before="0" w:after="0" w:line="240" w:lineRule="auto"/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874">
    <w:name w:val="ConsDTNormal"/>
    <w:pPr>
      <w:ind w:left="0" w:right="0"/>
      <w:jc w:val="both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875">
    <w:name w:val="ConsNonformat"/>
    <w:pPr>
      <w:ind w:left="0" w:right="0"/>
      <w:jc w:val="both"/>
      <w:spacing w:before="0" w:after="0" w:line="240" w:lineRule="auto"/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876">
    <w:name w:val="ConsPlusTitle"/>
    <w:pPr>
      <w:ind w:left="0" w:right="0"/>
      <w:jc w:val="left"/>
      <w:spacing w:before="0" w:after="0" w:line="240" w:lineRule="auto"/>
    </w:pPr>
    <w:rPr>
      <w:rFonts w:ascii="Arial" w:hAnsi="Arial" w:eastAsia="Arial" w:cs="Arial"/>
      <w:b/>
      <w:bCs/>
      <w:sz w:val="24"/>
      <w:szCs w:val="24"/>
      <w:lang w:val="ru-RU" w:bidi="ru-RU"/>
    </w:rPr>
  </w:style>
  <w:style w:type="paragraph" w:styleId="877">
    <w:name w:val="ConsPlusNormal"/>
    <w:pPr>
      <w:ind w:left="0" w:right="0"/>
      <w:jc w:val="left"/>
      <w:spacing w:before="0" w:after="0" w:line="240" w:lineRule="auto"/>
    </w:pPr>
    <w:rPr>
      <w:rFonts w:ascii="Arial" w:hAnsi="Arial" w:eastAsia="Arial" w:cs="Arial"/>
      <w:sz w:val="24"/>
      <w:szCs w:val="24"/>
      <w:lang w:val="ru-RU" w:bidi="ru-RU"/>
    </w:rPr>
  </w:style>
  <w:style w:type="numbering" w:styleId="878" w:default="1">
    <w:name w:val="No List"/>
    <w:uiPriority w:val="99"/>
    <w:semiHidden/>
    <w:unhideWhenUsed/>
  </w:style>
  <w:style w:type="paragraph" w:styleId="879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NSimSun" w:cs="Mangal,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R7-Office/7.2.1.14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Белозерцева Татьяна Сергеевна</cp:lastModifiedBy>
  <cp:revision>11</cp:revision>
  <dcterms:modified xsi:type="dcterms:W3CDTF">2024-09-12T10:28:00Z</dcterms:modified>
</cp:coreProperties>
</file>