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"/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ПРОЕКТ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2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2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4534"/>
        <w:jc w:val="both"/>
        <w:spacing w:after="0" w:line="240" w:lineRule="auto"/>
        <w:tabs>
          <w:tab w:val="left" w:pos="4678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481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 утверждении Положения об оплате труда работников муниципального бюджетного учреждения "Управление лесопаркового хозяйства города Нижневартовска"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статьями 144,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145 Трудового кодекса Российской          Федерации, пунктом 2 статьи 53 Федерального закона от 06.10.2003 №131-ФЗ "Об общих принципах организации местного самоуправления в Российской Федерации", пунктом 4 статьи 86 Бюджетного кодекса Российской Федерации: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</w:t>
      </w:r>
      <w:bookmarkStart w:id="0" w:name="_Hlk142650152"/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об оплате труда работников муниципального бюджетного учреждения "Управление лесопаркового хозяйства города Нижневартовска"</w:t>
      </w:r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Признать утратившими силу постановления администрации города: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 от 30.03.2020 №281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- от 19.04.2022 №248 "О внесении изменений в приложение                                      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постановлению администрации города от 30.03.2020 №281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от 21.06.2022 №406 "О внесении изменений в приложе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ние                                      к постановлению администрации города от 30.03.2020 №281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 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 измене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ниями от 19.04.2022 №248)";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от 16.08.2022 №575 "О внесении изменений в приложение                                      к постановлению администрации города от 30.03.2020 №281 "Об утверждении Положения об оплате труда работников муниципального бюджетного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учреждения "Управление лесопаркового хозяйства города Нижневартовска"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 изменениями от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19.04.2022 №248,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21.06.2022 №406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)"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от 07.02.2023 №84 "О внесении изменения в приложение                                     к постановлению администрации города от 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0.03.2020 №281 "Об утверждении Положения об оплате труда работников муниципального бюджетного учреждения "Управление лесопаркового хозяйства города Нижневартовска"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изменениями   от 19.04.2022 №248, 21.06.2022 №406, 16.08.2022 №575)";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 04.04.2023 №275 "О внесении изменений в приложение 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постановлению администрации города от 30.03.2020 №281 "Об утверждении Положения об оплате труда работников муниципального бюджетного учреждения "Управление лесопаркового хозяйства города Нижневартовс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ка" 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(с изменениями от 19.04.2022 №248, 21.06.2022 №406, 16.08.2022 №575, 07.02.2023 №84)";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от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30.11.2023 №1037 "О внесении изменений в приложение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 постановлению администрации города от 30.03.2020 №281 "Об утверждении Положения об оплате труда работник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ов муниципального бюджетного учреждения "Управление лесопаркового хозяйства города Нижневартовска"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(с изменениями от 19.04.2022 №248, 21.06.2022 №406, 16.08.2022 №575, 07.02.2023 №84, 04.04.2023 №275).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Постановление вступает в силу после его официального опубликования и распространяется на правоотно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шения, возникшие с 01.04.2024.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Контроль за выполнением постановления возложить на исполняющего обязанности заместителя главы города С.И. Ефремова, начальника управления по природопользованию и экологии администрации города О.А. Попенко.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Глава города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Д.А.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Кощенко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2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Приложение к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954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города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954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____________ №_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Положение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 оплате труда работников муниципального бюджетного учреждения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"Управление лесопаркового хозяйства города Нижневартовска"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Положение устанавливает размеры должностных окладов, компенсационных, стимулирующих и иных выплат, а также порядок их осуществления работникам муниципального бюджетного учреждения "Управление лесопаркового хозяйства города Нижневартовска" 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Учреждение).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 Понятия и определения, применяемые в настоящем Положении, соответствуют понятиям и определениям, применяемым в Трудовом </w:t>
      </w:r>
      <w:hyperlink r:id="rId10" w:tooltip="http://admnv.cloud.consultant.ru/cons?rnd=2816E11FC261E82B9D1E652D72C0B822&amp;req=doc&amp;base=LAW&amp;n=321526&amp;date=12.02.2020" w:history="1">
        <w:r>
          <w:rPr>
            <w:rStyle w:val="85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к</w:t>
        </w:r>
        <w:r>
          <w:rPr>
            <w:rStyle w:val="85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одексе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1.3. Фонд оплаты труда работников Учреждения состоит из: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должностного оклада (далее - оклад);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компенсационных выплат;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стимулирующих выплат;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иных выплат, предусмотренных настоящим Положением.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1.4. Месячный фонд оплаты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труда работников Учреждения по основной занимаемой должности для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выплаты премии по итогам работы за год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ины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 выплат включает в себя: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оклад;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выплату за интенсивность и высокие результаты работы;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премию по итогам работы за месяц;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выплату работ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никам, занятым на работах с вредными и (или) опасными условиями труда; 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выплату за работу в местностях с особыми климатическими условиями (районный коэффициент и процентная надбавка к заработной плате за стаж работы в районах Крайнего Севера и приравнен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ных к ним местностях), установленные трудовым договором на дату выплаты.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1.5. В целях соблюдения государственных гарантий по оплате труда         и в случае, если заработная плата работника, полностью отработавшего за месяц норму рабочего времени и выполни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вшего нормы труда (трудовые обязанности), исчисленная в установленном порядке, будет ниже минимального размера оплаты труда, </w:t>
      </w:r>
      <w:r>
        <w:rPr>
          <w:rFonts w:ascii="Times New Roman" w:hAnsi="Times New Roman"/>
          <w:color w:val="000000" w:themeColor="text1"/>
          <w:sz w:val="28"/>
        </w:rPr>
        <w:t xml:space="preserve">коллективным договором, локальными нормативными актами Учреждения предусматривается доплата до уровня минимального размера оплаты т</w:t>
      </w:r>
      <w:r>
        <w:rPr>
          <w:rFonts w:ascii="Times New Roman" w:hAnsi="Times New Roman"/>
          <w:color w:val="000000" w:themeColor="text1"/>
          <w:sz w:val="28"/>
        </w:rPr>
        <w:t xml:space="preserve">руда.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Регулирование размера заработной платы низкооплачиваемой категории работников до уровня минимального размера оплаты труда (при условии полного выполнения работником норм труда и отработки месячной нормы рабочего времени) осуществляется работодателем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пределах средств фонда оплаты труда.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1"/>
          <w:szCs w:val="21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1.6. Система оплаты труда работников Учреждения устанавливается коллективным договором, соглашением, локальным нормативным актом Учреждения, принимаемыми в соответствии с трудовым законодательством, иными нормативным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и правовыми актами Российской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Федерации,  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Ханты-Мансийского автономного округа - Югры и настоящим Положением.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eastAsia="ru-RU"/>
        </w:rPr>
        <w:t xml:space="preserve"> </w:t>
      </w:r>
      <w:r>
        <w:rPr>
          <w:rFonts w:ascii="Verdana" w:hAnsi="Verdana" w:eastAsia="Times New Roman"/>
          <w:color w:val="000000" w:themeColor="text1"/>
          <w:sz w:val="21"/>
          <w:szCs w:val="21"/>
        </w:rPr>
      </w:r>
      <w:r>
        <w:rPr>
          <w:rFonts w:ascii="Verdana" w:hAnsi="Verdana" w:eastAsia="Times New Roman"/>
          <w:color w:val="000000" w:themeColor="text1"/>
          <w:sz w:val="21"/>
          <w:szCs w:val="21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II. Основные условия оплаты труда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2.1. Оклады работникам Учреждения устанавлива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ются на основе требований к уровню квалификации и профессиональной подготовке, которые необходимы для осуществления соответствующей профессиональной деятельности, с учетом сложности и объема выполняемой работы в размерах                 согласно таблице 1.</w:t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</w:r>
      <w:r>
        <w:rPr>
          <w:rFonts w:ascii="Times New Roman" w:hAnsi="Times New Roman"/>
          <w:color w:val="000000" w:themeColor="text1"/>
          <w:spacing w:val="2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Размеры окладов (должностных окладов)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по профессиональным квалификационным группам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(квалификационным уровням) общеотраслевых должностей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специалистов и служащих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color w:val="000000" w:themeColor="text1"/>
        </w:rPr>
      </w:r>
      <w:bookmarkStart w:id="1" w:name="P56"/>
      <w:r>
        <w:rPr>
          <w:color w:val="000000" w:themeColor="text1"/>
        </w:rPr>
      </w:r>
      <w:bookmarkEnd w:id="1"/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tbl>
      <w:tblPr>
        <w:tblW w:w="96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1557"/>
      </w:tblGrid>
      <w:tr>
        <w:tblPrEx/>
        <w:trPr>
          <w:trHeight w:val="2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Профессиональная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квалификационная группа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(квалификационный уровень)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оклада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(руб.)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96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Общеотраслевые должности служащих второго уровня</w:t>
            </w:r>
            <w:r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r>
          </w:p>
        </w:tc>
      </w:tr>
      <w:tr>
        <w:tblPrEx/>
        <w:trPr>
          <w:trHeight w:val="2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секретарь руководителя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9 199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квалификационный уровень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хозяйством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11 675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W w:w="96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Общеотраслевые должности служащих третьего уровня</w:t>
            </w:r>
            <w:r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0"/>
                <w:szCs w:val="10"/>
              </w:rPr>
            </w:r>
          </w:p>
        </w:tc>
      </w:tr>
      <w:tr>
        <w:tblPrEx/>
        <w:trPr>
          <w:trHeight w:val="5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Verdana" w:hAnsi="Verdan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инженер по охране окружающей среды (эколог)</w:t>
            </w:r>
            <w:r>
              <w:rPr>
                <w:rFonts w:ascii="Verdana" w:hAnsi="Verdana"/>
                <w:color w:val="000000" w:themeColor="text1"/>
                <w:sz w:val="21"/>
                <w:szCs w:val="21"/>
              </w:rPr>
            </w:r>
            <w:r>
              <w:rPr>
                <w:rFonts w:ascii="Verdana" w:hAnsi="Verdana"/>
                <w:color w:val="000000" w:themeColor="text1"/>
                <w:sz w:val="21"/>
                <w:szCs w:val="21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13 229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tcW w:w="70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квалификационный уровень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ведущий юрисконсульт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16 815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46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ведущий бухгалтер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16 815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9"/>
        </w:trPr>
        <w:tc>
          <w:tcPr>
            <w:tcW w:w="70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ведущий экономист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16 815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2.2. Оклады по профессиональным группам должностей работников лесного хозяйства устанавливаются в размерах согласно таблице 2.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2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r>
      <w:r>
        <w:rPr>
          <w:rFonts w:ascii="Arial" w:hAnsi="Arial" w:eastAsia="Times New Roman" w:cs="Arial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Размеры окладов (должностных окладов)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по профессиональным квалификационным группам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должностей работников лесного хозяйства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tbl>
      <w:tblPr>
        <w:tblW w:w="963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1557"/>
      </w:tblGrid>
      <w:tr>
        <w:tblPrEx/>
        <w:trPr>
          <w:trHeight w:val="20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Профессиональная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квалификационная группа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(квалификационный уровень)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должности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Размер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оклада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(руб.)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62"/>
        </w:trPr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1.1.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квалификационный уровень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Verdana" w:hAnsi="Verdan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мастер леса</w:t>
            </w:r>
            <w:r>
              <w:rPr>
                <w:rFonts w:ascii="Verdana" w:hAnsi="Verdana"/>
                <w:color w:val="000000" w:themeColor="text1"/>
                <w:sz w:val="21"/>
                <w:szCs w:val="21"/>
              </w:rPr>
            </w:r>
            <w:r>
              <w:rPr>
                <w:rFonts w:ascii="Verdana" w:hAnsi="Verdana"/>
                <w:color w:val="000000" w:themeColor="text1"/>
                <w:sz w:val="21"/>
                <w:szCs w:val="21"/>
              </w:rPr>
            </w:r>
          </w:p>
        </w:tc>
        <w:tc>
          <w:tcPr>
            <w:tcW w:w="15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13 229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spacing w:after="0" w:line="240" w:lineRule="auto"/>
        <w:tabs>
          <w:tab w:val="left" w:pos="4065" w:leader="none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2.3.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Оклады по должностям, не включенным в профессиональные квалификационные группы (квалификационные уровни) общеотраслевых должностей специалистов и служащих, а также в профессиональные квалификационные группы должностей работников лесного хозяйства, устанавл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иваются в размерах согласно таблице 3.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3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Размеры окладов (должностных окладов) по должностям,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не включенным в профессиональные квалификационные группы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(квалификационные уровни) общеотраслевых должностей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 w:themeColor="text1"/>
          <w:sz w:val="28"/>
          <w:szCs w:val="28"/>
          <w:lang w:eastAsia="ru-RU"/>
        </w:rPr>
        <w:t xml:space="preserve">специалистов и служащих, а также профессиональные квалификационные группы должностей работников лесного хозяйства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751"/>
        <w:gridCol w:w="3179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</w:p>
        </w:tc>
        <w:tc>
          <w:tcPr>
            <w:tcW w:w="57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Наименование должности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</w:p>
        </w:tc>
        <w:tc>
          <w:tcPr>
            <w:tcW w:w="3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Размер оклада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(руб.)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1.1.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57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Начальник отдела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3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19 051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1.2.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W w:w="575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Мастер участка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1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17 933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III. Порядок и условия осуществления компенсационных выплат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  <w:r>
        <w:rPr>
          <w:rFonts w:ascii="Times New Roman" w:hAnsi="Times New Roman"/>
          <w:b/>
          <w:color w:val="000000" w:themeColor="text1"/>
        </w:rPr>
      </w:r>
      <w:r>
        <w:rPr>
          <w:rFonts w:ascii="Times New Roman" w:hAnsi="Times New Roman"/>
          <w:b/>
          <w:color w:val="000000" w:themeColor="text1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3.1.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Работникам Учреждения производятся следующие компенсационные               выплаты: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выплата работникам, занятым на работах с вредными и (или) опасными условиями труда;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выплата за работу в условиях, отклоняющихся от нормальных (при выполнении работ разл</w:t>
      </w:r>
      <w:r>
        <w:rPr>
          <w:rFonts w:ascii="Times New Roman" w:hAnsi="Times New Roman"/>
          <w:color w:val="000000" w:themeColor="text1"/>
          <w:sz w:val="28"/>
        </w:rPr>
        <w:t xml:space="preserve">ичной квалификации, совмещении профессий, (должностей), сверхурочной работе, работе в ночное время, выходные                         и нерабочие праздничные дни и при выполнении работ в других условиях, отклоняющихся от нормальных);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- выплата</w:t>
      </w:r>
      <w:r>
        <w:rPr>
          <w:rFonts w:ascii="Times New Roman" w:hAnsi="Times New Roman"/>
          <w:color w:val="000000" w:themeColor="text1"/>
          <w:sz w:val="28"/>
        </w:rPr>
        <w:t xml:space="preserve"> за работу в местностях с особыми климатическими условиями (районный коэффициент к заработной плате за работу в районах Крайнего Севера и приравненных к ним местностях, а также процентная надбавка                     </w:t>
      </w:r>
      <w:r>
        <w:rPr>
          <w:rFonts w:ascii="Times New Roman" w:hAnsi="Times New Roman"/>
          <w:color w:val="000000" w:themeColor="text1"/>
          <w:sz w:val="28"/>
        </w:rPr>
        <w:t xml:space="preserve">к заработной плате за стаж работы в рай</w:t>
      </w:r>
      <w:r>
        <w:rPr>
          <w:rFonts w:ascii="Times New Roman" w:hAnsi="Times New Roman"/>
          <w:color w:val="000000" w:themeColor="text1"/>
          <w:sz w:val="28"/>
        </w:rPr>
        <w:t xml:space="preserve">онах Крайнего Севера и приравненных к ним местностях).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Компенсационные выплаты устанавливаются к окладу и не учитываются для исчисления других выплат, кроме районного коэффициента и процентной надбавки к заработной плате за стаж работы в местности, приравненной </w:t>
        <w:br/>
        <w:t xml:space="preserve">к районам Крайнего Севера.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highlight w:val="whit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3.2. Выплата работникам, занятым на работах с вредными и (или) опасными условиями труда, устанавливается в соответствии со статьей 147 Трудового кодекса Российской Федерации.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Руководитель Учреждения пр</w:t>
      </w:r>
      <w:r>
        <w:rPr>
          <w:rFonts w:ascii="Times New Roman" w:hAnsi="Times New Roman"/>
          <w:color w:val="000000" w:themeColor="text1"/>
          <w:sz w:val="28"/>
        </w:rPr>
        <w:t xml:space="preserve">инимает меры по проведению специальной оценки условий труда с целью обеспечения безопасных условий труда                       и сокращения количества рабочих мест, не соответствующих государственным нормативным требованиям охраны труда, разрабатывает прог</w:t>
      </w:r>
      <w:r>
        <w:rPr>
          <w:rFonts w:ascii="Times New Roman" w:hAnsi="Times New Roman"/>
          <w:color w:val="000000" w:themeColor="text1"/>
          <w:sz w:val="28"/>
        </w:rPr>
        <w:t xml:space="preserve">рамму действий по обеспечению безопасных условий и охраны труда в соответствии                          с Федеральным законом от 28.12.2013 №426-ФЗ "О специальной оценке условий труда".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Выплата работникам, занятым на работах с вредными и (или) опасными усл</w:t>
      </w:r>
      <w:r>
        <w:rPr>
          <w:rFonts w:ascii="Times New Roman" w:hAnsi="Times New Roman"/>
          <w:color w:val="000000" w:themeColor="text1"/>
          <w:sz w:val="28"/>
        </w:rPr>
        <w:t xml:space="preserve">овиями труда, не может быть отменена без улучшения условий труда, подтвержденного специальной оценкой условий труда.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Выплата работникам, занятым на работах с вредными и (или) опасными условиями труда, устанавливается к должностному окладу в размере 5 проце</w:t>
      </w:r>
      <w:r>
        <w:rPr>
          <w:rFonts w:ascii="Times New Roman" w:hAnsi="Times New Roman"/>
          <w:color w:val="000000" w:themeColor="text1"/>
          <w:sz w:val="28"/>
        </w:rPr>
        <w:t xml:space="preserve">нтов от оклада следующих должностей: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начальник отдела;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мастер леса;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инженер по охране окружающей среды (эколог)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3.3. Выплата за работу в условиях, отклоняющихся от нормальных                 </w:t>
      </w:r>
      <w:r>
        <w:rPr>
          <w:rFonts w:ascii="Times New Roman" w:hAnsi="Times New Roman"/>
          <w:color w:val="000000" w:themeColor="text1"/>
          <w:sz w:val="28"/>
        </w:rPr>
        <w:t xml:space="preserve">   (</w:t>
      </w:r>
      <w:r>
        <w:rPr>
          <w:rFonts w:ascii="Times New Roman" w:hAnsi="Times New Roman"/>
          <w:color w:val="000000" w:themeColor="text1"/>
          <w:sz w:val="28"/>
        </w:rPr>
        <w:t xml:space="preserve">при выполнении работ различной квалификации, совмещении</w:t>
      </w:r>
      <w:r>
        <w:rPr>
          <w:rFonts w:ascii="Times New Roman" w:hAnsi="Times New Roman"/>
          <w:color w:val="000000" w:themeColor="text1"/>
          <w:sz w:val="28"/>
        </w:rPr>
        <w:t xml:space="preserve"> профессий (должностей), сверхурочной работе, работе в ночное время, выходные                           и нерабочие праздничные дни и при выполнении работ в других условиях, отклоняющихся от нормальных), осуществляется в соответствии со статьями 149-154 </w:t>
      </w:r>
      <w:r>
        <w:rPr>
          <w:rFonts w:ascii="Times New Roman" w:hAnsi="Times New Roman"/>
          <w:color w:val="000000" w:themeColor="text1"/>
          <w:sz w:val="28"/>
        </w:rPr>
        <w:t xml:space="preserve">Трудового кодекса Российской Федерации.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3.4. Выплата за работу в местностях с особыми климатическими условиями устанавливаются в соответствии со статьями 315-317 Трудового кодекса </w:t>
      </w:r>
      <w:r>
        <w:rPr>
          <w:rFonts w:ascii="Times New Roman" w:hAnsi="Times New Roman"/>
          <w:color w:val="000000" w:themeColor="text1"/>
          <w:sz w:val="28"/>
        </w:rPr>
        <w:t xml:space="preserve">Российской Федерации и решением Думы города от 24.12.2019 №560</w:t>
        <w:br/>
        <w:t xml:space="preserve">"О гарантиях и компенсациях</w:t>
      </w:r>
      <w:r>
        <w:rPr>
          <w:rFonts w:ascii="Times New Roman" w:hAnsi="Times New Roman"/>
          <w:color w:val="000000" w:themeColor="text1"/>
          <w:sz w:val="28"/>
        </w:rPr>
        <w:t xml:space="preserve"> для лиц, работающих в районах Крайнего Севера и приравненных к ним местностях в органах местного самоуправления                      и муниципальных учреждениях города Нижневартовска".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Районный коэффициент к заработной плате за работу в районах Крайнего С</w:t>
      </w:r>
      <w:r>
        <w:rPr>
          <w:rFonts w:ascii="Times New Roman" w:hAnsi="Times New Roman"/>
          <w:color w:val="000000" w:themeColor="text1"/>
          <w:sz w:val="28"/>
        </w:rPr>
        <w:t xml:space="preserve">евера и приравненных к ним местностях применяется в размере 1,7.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Размер процентной надбавки к заработной плате за стаж работы в районах Крайнего Севера и приравненных к ним местностях определяется                                в соответствии с муниципальн</w:t>
      </w:r>
      <w:r>
        <w:rPr>
          <w:rFonts w:ascii="Times New Roman" w:hAnsi="Times New Roman"/>
          <w:color w:val="000000" w:themeColor="text1"/>
          <w:sz w:val="28"/>
        </w:rPr>
        <w:t xml:space="preserve">ым правовым актом.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Районный коэффициент к заработной плате за работу в районах Крайнего Севера и приравненных к ним местностях и процентная надбавка к заработной плате за стаж работы в районах Крайнего Севера и приравненных к ним местностях начисляются на </w:t>
      </w:r>
      <w:r>
        <w:rPr>
          <w:rFonts w:ascii="Times New Roman" w:hAnsi="Times New Roman"/>
          <w:color w:val="000000" w:themeColor="text1"/>
          <w:sz w:val="28"/>
        </w:rPr>
        <w:t xml:space="preserve">оклады и выплаты, предусмотренные пунктами 3.2, 3.3 раздела </w:t>
      </w:r>
      <w:r>
        <w:rPr>
          <w:rFonts w:ascii="Times New Roman" w:hAnsi="Times New Roman"/>
          <w:color w:val="000000" w:themeColor="text1"/>
          <w:sz w:val="28"/>
          <w:lang w:val="en-US"/>
        </w:rPr>
        <w:t xml:space="preserve">III</w:t>
      </w:r>
      <w:r>
        <w:rPr>
          <w:rFonts w:ascii="Times New Roman" w:hAnsi="Times New Roman"/>
          <w:color w:val="000000" w:themeColor="text1"/>
          <w:sz w:val="28"/>
        </w:rPr>
        <w:t xml:space="preserve">, пунктами </w:t>
      </w:r>
      <w:r>
        <w:rPr>
          <w:rFonts w:ascii="Times New Roman" w:hAnsi="Times New Roman"/>
          <w:color w:val="000000" w:themeColor="text1"/>
          <w:sz w:val="28"/>
        </w:rPr>
        <w:t xml:space="preserve">4.2-4.4</w:t>
      </w:r>
      <w:r>
        <w:rPr>
          <w:rFonts w:ascii="Times New Roman" w:hAnsi="Times New Roman"/>
          <w:color w:val="000000" w:themeColor="text1"/>
          <w:sz w:val="28"/>
        </w:rPr>
        <w:t xml:space="preserve"> раздела </w:t>
      </w:r>
      <w:r>
        <w:rPr>
          <w:rFonts w:ascii="Times New Roman" w:hAnsi="Times New Roman"/>
          <w:color w:val="000000" w:themeColor="text1"/>
          <w:sz w:val="28"/>
          <w:lang w:val="en-US"/>
        </w:rPr>
        <w:t xml:space="preserve">IV</w:t>
      </w:r>
      <w:r>
        <w:rPr>
          <w:rFonts w:ascii="Times New Roman" w:hAnsi="Times New Roman"/>
          <w:color w:val="000000" w:themeColor="text1"/>
          <w:sz w:val="28"/>
        </w:rPr>
        <w:t xml:space="preserve"> настоящего Положения.   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3.5. </w:t>
      </w:r>
      <w:r>
        <w:rPr>
          <w:rFonts w:ascii="Times New Roman" w:hAnsi="Times New Roman"/>
          <w:color w:val="000000" w:themeColor="text1"/>
          <w:sz w:val="28"/>
        </w:rPr>
        <w:t xml:space="preserve">Размеры </w:t>
      </w:r>
      <w:r>
        <w:rPr>
          <w:rFonts w:ascii="Times New Roman" w:hAnsi="Times New Roman"/>
          <w:color w:val="000000" w:themeColor="text1"/>
          <w:sz w:val="28"/>
        </w:rPr>
        <w:t xml:space="preserve">и условия компенсационных выплат работникам Учреждения устанавливаются коллективным договором, соглашением, локальными нормативными актами Учреждения, принимаемыми в соответствии с трудовым законодательством и иными нормативными пра</w:t>
      </w:r>
      <w:r>
        <w:rPr>
          <w:rFonts w:ascii="Times New Roman" w:hAnsi="Times New Roman"/>
          <w:color w:val="000000" w:themeColor="text1"/>
          <w:sz w:val="28"/>
        </w:rPr>
        <w:t xml:space="preserve">вовыми актами, содержащими нормы трудового права, в пределах объема субсидии на финансовое обеспечение выполнения муниципального задания.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color w:val="000000" w:themeColor="text1"/>
        </w:rPr>
      </w:r>
      <w:bookmarkStart w:id="2" w:name="P143"/>
      <w:r>
        <w:rPr>
          <w:color w:val="000000" w:themeColor="text1"/>
        </w:rPr>
      </w:r>
      <w:bookmarkEnd w:id="2"/>
      <w:r>
        <w:rPr>
          <w:rFonts w:ascii="Times New Roman" w:hAnsi="Times New Roman"/>
          <w:b/>
          <w:color w:val="000000" w:themeColor="text1"/>
        </w:rPr>
      </w:r>
      <w:r>
        <w:rPr>
          <w:rFonts w:ascii="Times New Roman" w:hAnsi="Times New Roman"/>
          <w:b/>
          <w:color w:val="000000" w:themeColor="text1"/>
        </w:rPr>
      </w:r>
    </w:p>
    <w:p>
      <w:pPr>
        <w:numPr>
          <w:ilvl w:val="0"/>
          <w:numId w:val="4"/>
        </w:num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Порядок и условия осуществления стимулирующих выплат,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left="1080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критерии их установления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</w:r>
      <w:r>
        <w:rPr>
          <w:rFonts w:ascii="Times New Roman" w:hAnsi="Times New Roman"/>
          <w:b/>
          <w:color w:val="000000" w:themeColor="text1"/>
        </w:rPr>
      </w:r>
      <w:r>
        <w:rPr>
          <w:rFonts w:ascii="Times New Roman" w:hAnsi="Times New Roman"/>
          <w:b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4.1. В целях поощрения работников Уч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реждения устанавливаются следующие виды стимулирующих выплат: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выплата за интенсивность и высокие результаты работы;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премия по итогам работы за месяц;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премия по итогам работы за год;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премия за выполнение особо важных и сложных заданий.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принятия решения об осуществлении выплат стимулирующего характера работникам Учреждения, в целях соблюдения демократических процедур создается комиссия по рассмотрению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установлению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стимулирующих выпла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Выплата за интенсивность и высокие результаты работы.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.1. Выплата за интенсивность и высокие результаты работы устанавливается работникам Учреждения в следующих разме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рах: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 90 процентов от оклада работникам, выполняющим работу по должностям, соответствующим 1 квалификационному уровню профессиональной квалификационной группы "Общеотраслевые должности служащих второго уровня", 2 квалификационному уровню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ой квалификационной группы "Общеотраслевые должности служащих второго уровня", согласно пунктам 1.1-1.2 таблицы 1 настоящего Положения.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 90 процентов от оклада работникам, выполняющим работу по должностям, соответствующим 1 квалификационным уровням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рофессиональной квалификационной группы "Общеотраслевые должности служащих третьего уровня", согласно пункту 2.1 таблицы 1 настоящего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 90 процентов от оклада работникам, выполняющим работу по должностям, соответствующим 4 квалификационным ур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овням профессиональной квалификационной группы "Общеотраслевые должности служащих третьего уровня", согласно пункту 2.2 таблицы 1 настоящего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 90 процентов от оклада работникам, выполняющим работу по должностям, соответствующим 1 квалификацио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нному уровню профессиональной квалификационной группы "Должности работников лесного хозяйства третьего уровня", согласно пункту 1.1 таблицы 2 настоящего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до 100 процентов от оклада работникам, выполняющим работу по должностям, не включенным в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рофессиональные квалификационные группы (квалификационные уровни) общеотраслевых должностей специалистов            и служащих, а также в профессиональные квалификационные группы должностей работников лесного хозяйства, согласно пунктам 1.1-1.2 таблицы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 настоящего Положения.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.2. Выплата за интенсивность и высокие результаты работы характеризуется степенью напряженности в процессе труда и устанавливается за: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выполнение работ высокой напряженности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интенсивности,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в том числе за большой объем работ,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результативность, систематическое выполнение важных, срочных, сложных и неотложных работ, работ, требующих повышенного внимания;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участие в выполнении важных работ, мероприятий, участие                      в подготовке (разработке) технических заданий;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обеспечение безаварийной, безотказной и бесперебойной работы            в Учреждении.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установлении размера выплаты за интенсивность и высокие результаты работы учитывается следующее: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особый режим работы, связанной с обеспечением безаварийной, безот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казной и бесперебойной работы Учреждения;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  ответственность в работе, уровень исполнительской дисциплины;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компетентность, инициатива и творческий подход в исполнении работником Учреждения должностных (профессиональных) обязанностей;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 выполнение работ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ником Учреждения важных работ, не определенных трудовым договором и должностной инструкцией;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участие в подготовке (разработке) технических заданий.   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.3. Конкретный размер выплаты за интенсивность и высокие результаты работы определяется в процента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 от оклада и устанавливается локальным нормативным актом Учреждения.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.4. Выплата за интенсивность и высокие результаты работы устанавливается работнику при приеме на работу, переводе на другую должность, а также в случае изменения интенсивности и резу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льтативности труда, определяемых занимаемой работником должностью.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Стимулирующие выплаты за интенсивность и высокие результаты работы устанавливаются на срок не более 12 календарных месяцев.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.5. Приказ руководителя Учреждения об установлении размера вы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платы за интенсивность и высокие результаты работы оформляется и объявляется работнику под подпись.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Премия по итогам работы за месяц.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.1. Премия по итогам работы за месяц (далее - ежемесячная премия) осуществляется с целью поощрения работников за общие результаты работы по итогам работы за месяц, в том числе за: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своевременное и качественное выполнение должностных обязанностей, определе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нных должностными инструкциями каждого работника;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своевременное предоставление отчетности и различной информации учредителю - управлению по природопользованию и экологии администрации города Нижневартовска (далее - Учредитель), главному распорядителю бю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джетных средств, а также в структурные подразделения администрации города и иные органы власти;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своевременность оприходования основных средств, материальных запасов и обоснованность их списания;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своевременное размещение информации в ЕИС, </w:t>
      </w:r>
      <w:r>
        <w:rPr>
          <w:rStyle w:val="886"/>
          <w:rFonts w:ascii="Times New Roman" w:hAnsi="Times New Roman" w:eastAsia="Calibri"/>
          <w:b w:val="0"/>
          <w:bCs w:val="0"/>
          <w:color w:val="000000" w:themeColor="text1"/>
          <w:sz w:val="28"/>
          <w:szCs w:val="28"/>
        </w:rPr>
        <w:t xml:space="preserve">bus.gov.ru;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выполнение планов, графиков работы;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выполнение муниципального задания;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выполнение плана размещения муниципального заказа;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соблюдение сроков подготовки и сдачи отчетов в контрольные органы;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соблюдение трудовой дисциплины;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своевременность начислени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и выплаты заработной платы, отпускных   и иных сумм работникам Учреждения;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своевременность оплаты налоговых и страховых взносов;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своевременность расчета с поставщиками, заказчиками;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информирование о деятельности Учреждения в СМИ, социальных сетях Учреждения;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оказание методической помощи (наставничество) для вновь принятых работников в соответствии с локальным актом Учреждения;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внедрение новых форм и методов работы.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.2. Ежемес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ячная премия выплачивается за фактически отработанное время в календарном месяце согласно табелю учета рабочего времени                        по основной занимаемой должности.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.3. Ежемесячная премия устанавливается работникам Учреждения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в размере до 50 процентов от оклада.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.4. Ежемесячная премия работникам Учреждения может быть снижена                   на основании следующих показателей:</w:t>
      </w:r>
      <w:r>
        <w:rPr>
          <w:rFonts w:ascii="Times New Roman" w:hAnsi="Times New Roman"/>
          <w:strike/>
          <w:color w:val="000000" w:themeColor="text1"/>
          <w:sz w:val="28"/>
          <w:szCs w:val="28"/>
        </w:rPr>
      </w:r>
      <w:r>
        <w:rPr>
          <w:rFonts w:ascii="Times New Roman" w:hAnsi="Times New Roman"/>
          <w:strike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0"/>
        <w:gridCol w:w="5119"/>
        <w:gridCol w:w="3838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Процент снижения премии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за каждый случай нарушения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(в процентах от максимального размера премии)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18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Несоблюдение трудовой дисциплины,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нарушение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Правил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внутреннего трудового распорядка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- 5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02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нарушения и более - 10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18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Нарушение правил охраны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труда,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техники безопасности, противопожарной безопасности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- 5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02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нарушения и более - 10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088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Некачественное, нес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воевременное выполнение функциональных и должностных обязанностей, в том числе неквалифицированная, несвоевременная, некачественная подготовка                  и оформление документов, нарушение сроков представления установленной отчетности, представление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(направление) недостоверной информации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- 5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22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нарушения и более - 10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Нарушение в учете материальных средств, допущение недостач, хищений, порчи имущества, использование в нерабочее время               и незаконная передача третьим лицам муниципального имущества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уменьшение выплаты на 5 процентов за каждый факт нарушения, но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 более 30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Появление на работе в состоянии алкогольного, наркотического опьянения, употребление спиртных напитков на рабочем месте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- 50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19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Необоснованный отказ от выполнения поручений, заданий, приказов (распоряжений) вышестоящего руководства, ознакомления                  с распорядительными, а также внутренними нормативными документами Учреждения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- 50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98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</w:r>
          </w:p>
          <w:p>
            <w:pPr>
              <w:ind w:left="-112" w:right="-150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нарушения и более - 100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512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Допущение перерасхода горюче-смазочных материалов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нарушение - 10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486"/>
        </w:trPr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245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нарушения и более - 20 процентов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Разглашение конфиденциальной информации, нарушение установленных в Учреждении правил и мер обеспечения защиты персональных данных, информационной, экономической безопасности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уменьшение выплаты на 10 процентов за каждый факт нарушения, но не более 50 процен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Несвоевременное размещение информации        в ЕИС, </w:t>
            </w:r>
            <w:r>
              <w:rPr>
                <w:rStyle w:val="886"/>
                <w:rFonts w:ascii="Times New Roman" w:hAnsi="Times New Roman" w:eastAsia="Calibri"/>
                <w:b w:val="0"/>
                <w:bCs w:val="0"/>
                <w:color w:val="000000" w:themeColor="text1"/>
                <w:sz w:val="24"/>
                <w:szCs w:val="24"/>
              </w:rPr>
              <w:t xml:space="preserve">bus.gov.ru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9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уменьшение выплаты на 10 процентов за каждый факт нарушения, но не более 50 процентов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green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green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gree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.5.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Снижение размера ежемесячной премии не должно приводить                  к уменьшению размера месячной заработной платы работника более чем на 20 процентов.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Премия по итогам работы за год.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.1. Премия по итогам работы за год (далее - премия за год)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выплачивается работникам Учреждения в размере до 1 месячного фонда оплаты труда по основной занимаемой должности (ставке) с целью поощрения работников Учреждения за общие результаты труда по итогам работы за год.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.4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При наличии экономии фонда оплаты труда Учреждения размер премии за год предельным размером не ограничивается.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4.3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Выплата премии за год производится до 31 декабря текущего финансового года.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4.4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Размер премии за год может быть снижен (увеличен), но не более чем на 100 процентов от месячного фонда оплаты труда работника на основании следующих показателей: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0"/>
        <w:gridCol w:w="4396"/>
        <w:gridCol w:w="2122"/>
        <w:gridCol w:w="2549"/>
      </w:tblGrid>
      <w:tr>
        <w:tblPrEx/>
        <w:trPr>
          <w:trHeight w:val="1592"/>
        </w:trPr>
        <w:tc>
          <w:tcPr>
            <w:tcW w:w="560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п/п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W w:w="4510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показателя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Критерии оценки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ind w:left="-111" w:right="-83"/>
              <w:jc w:val="center"/>
              <w:rPr>
                <w:b/>
                <w:bCs/>
                <w:color w:val="000000" w:themeColor="text1"/>
              </w:rPr>
            </w:pPr>
            <w:r>
              <w:rPr>
                <w:rStyle w:val="890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Размер снижения </w:t>
            </w:r>
            <w:r>
              <w:rPr>
                <w:rStyle w:val="890"/>
                <w:color w:val="000000" w:themeColor="text1"/>
                <w:sz w:val="24"/>
                <w:szCs w:val="24"/>
              </w:rPr>
              <w:t xml:space="preserve">                </w:t>
            </w:r>
            <w:r>
              <w:rPr>
                <w:rStyle w:val="890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Style w:val="890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</w:t>
            </w:r>
            <w:r>
              <w:rPr>
                <w:rStyle w:val="890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процентах от фактически установленного размера премии за год)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5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510" w:type="dxa"/>
            <w:textDirection w:val="lrTb"/>
            <w:noWrap w:val="false"/>
          </w:tcPr>
          <w:p>
            <w:pPr>
              <w:pStyle w:val="875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фактов нарушения правил ведения бюджетного учета, нарушения бюджетного законодательства и иных нормативных правовых актов, регулирующих бюджетные правонарушения, законодательства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иных нормативных правовых актов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контрактной системе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сфере закупок товаров, работ, услуг для обеспечения муниципальных нужд, законодательства и иных нормативных правовых актов, регулирующих деятельность Учреждения, причинения ущерба Учреждению, выявленных в отчетном периоде по результатам мероприятий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отношении Учреждения или за предыдущие периоды, но не более чем за 2 года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необоснованного,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отрицательного показателя влечет уменьшение выплаты на 1 процент 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каждый 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5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более 50 процентов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01"/>
        </w:trPr>
        <w:tc>
          <w:tcPr>
            <w:tcW w:w="560" w:type="dxa"/>
            <w:vMerge w:val="restart"/>
            <w:textDirection w:val="lrTb"/>
            <w:noWrap w:val="false"/>
          </w:tcPr>
          <w:p>
            <w:pPr>
              <w:pStyle w:val="875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4510" w:type="dxa"/>
            <w:vMerge w:val="restart"/>
            <w:textDirection w:val="lrTb"/>
            <w:noWrap w:val="false"/>
          </w:tcPr>
          <w:p>
            <w:pPr>
              <w:pStyle w:val="875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Использование объема бюджетных ассигнований на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беспечение деятельности Учреждения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менее 85 процентов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5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процентов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419"/>
        </w:trPr>
        <w:tc>
          <w:tcPr>
            <w:tcW w:w="560" w:type="dxa"/>
            <w:vMerge w:val="continue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10" w:type="dxa"/>
            <w:vMerge w:val="continue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86 до 90 процентов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5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процентов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10" w:type="dxa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фактов привлечения работников Учреждения, руководителя Учреждения, Учреждения как юридического лица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административной ответственности за нарушение при осуществлении трудовой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ind w:left="-129" w:righ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 привлечения работников Учреждения, руководителя Учрежд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ения, Учреждения как юридического лица к административной ответственности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процентов за каждое административное нарушение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10" w:type="dxa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фактов нарушений норм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правил по охране труда, пожарной безопасности, приведших деятельность Учреждения к негативным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последствиям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ind w:left="-129" w:right="-9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 нарушений норм и правил по охране труда, пожарной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процентов за каждое нарушение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510" w:type="dxa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неустраненных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нарушений при осуществлении трудовой деятельности работниками Учреждения, руководителем Учреждения, выявленных по 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зультатам проверок контрольными органами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неустраненных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нарушений, выявленных по результатам проверок контрольными органами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71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 процентов за каждое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неустраненное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нарушение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75"/>
        <w:ind w:firstLine="540"/>
        <w:jc w:val="both"/>
        <w:rPr>
          <w:color w:val="000000" w:themeColor="text1"/>
          <w:sz w:val="20"/>
          <w:highlight w:val="green"/>
        </w:rPr>
      </w:pPr>
      <w:r>
        <w:rPr>
          <w:color w:val="000000" w:themeColor="text1"/>
          <w:sz w:val="20"/>
          <w:highlight w:val="green"/>
        </w:rPr>
      </w:r>
      <w:r>
        <w:rPr>
          <w:color w:val="000000" w:themeColor="text1"/>
          <w:sz w:val="20"/>
          <w:highlight w:val="green"/>
        </w:rPr>
      </w:r>
      <w:r>
        <w:rPr>
          <w:color w:val="000000" w:themeColor="text1"/>
          <w:sz w:val="20"/>
          <w:highlight w:val="green"/>
        </w:rPr>
      </w:r>
    </w:p>
    <w:p>
      <w:pPr>
        <w:pStyle w:val="875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премии за год увеличивается за выполнение следующих показателей: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61"/>
        <w:gridCol w:w="4290"/>
        <w:gridCol w:w="2387"/>
        <w:gridCol w:w="2389"/>
      </w:tblGrid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Критерии оценки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Размер увеличения (исчисляется от фактически установленного размера премии за год)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Высокий уровень организационной работы по решению поставленных задач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решения, принятые по поставленной задаче с учетом ее сложности и объема,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приведшие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успешному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оперативному завершению поставленной задачи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процентов,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в зависимости от степени влияния на общий результат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60" w:type="dxa"/>
            <w:textDirection w:val="lrTb"/>
            <w:noWrap w:val="false"/>
          </w:tcPr>
          <w:p>
            <w:pPr>
              <w:pStyle w:val="8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389" w:type="dxa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Испо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льзование нестандартного подхода в решении вопросов, относящихся к компетенции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внедрение новых технологий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методов работы, которые привели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повышению эффективности деятельности Учреждения (отдельных структурных подразделений),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получению большего эффекта при меньшем вложении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100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процентов,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в зависимости от степени влияния на общий результат работы Учреждения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Размер снижения (увеличения) премии за год определяется приказом руководителя Учреждения.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Решение о снижении (у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величении) размера премии за год работнику Учреждения принимается комиссией по рассмотрению 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установлению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стимулирующих выплат работникам Учреждения на основании письменных предложений руководителей соответствующих структурных подразделений Учреждения (лицом,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курирующим деятельность структурных подразделений)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в соответствии с организационной структурой Учреждения.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Порядок принятия решения о снижении (увеличении) размера премии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за год утверждается локальным нормативным актом Учреждения с учетом специфики деяте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льности Учреждения.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4.5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Премия за год выплачивается работникам Учреждения, в том числе проработавшим неполный календарный год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(кроме случаев увольнения за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виновные действия)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, за фактически отработанное время в календарном году.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  </w:t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white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В отработанное время в календарном году для расчета размера премии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за год включается время работы по табелю учета использования рабочего времени, дни нахождения в служебной командировке, на профессиональной подготовке, переподготовке, в ежегодном оплачива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емом отпуске, дни отдыха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val="ru-RU"/>
        </w:rPr>
        <w:t xml:space="preserve">за работу в выходные и нерабочие праздничные дни.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4.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. Ежемесячная 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ремия и премия за год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выплачиваются по решению руководителя Учреждения в пре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делах бюджетных ассигнований на оплату труда работников Учреждения, а также из средств,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полученных Учреждением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от приносящей доход деятельности, направляемых Учреждением на оплату труда работников.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 Премия за выполнение особо важных и сложных заданий.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.1. Работникам Учреждения на основании приказа руководителя Учреждения может быть выплачена единовременная премия за выполнение особо важных и сложных заданий.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Премия за выполнение особо важных и сложных заданий может быть выплачена как отдельному рабо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тнику, так и группе работников, причастных       к осуществлению задания.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.2. Решение о выплате премии за выполнение особо важных и сложных заданий оформляется соответствующим приказом руководителя Учреждения по согласованию с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чредителем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884"/>
        <w:contextualSpacing/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4.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.3. П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ремия за выполнение особо важных и сложных заданий выплачивается работнику в размере до 1 (одного) месячного фонда оплаты труда и не более 2 раз в год. Премия за выполнение особо важных и сложных заданий производится за счет экономии по фонду оплаты труда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Учреждения.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  <w:r>
        <w:rPr>
          <w:rFonts w:ascii="Times New Roman" w:hAnsi="Times New Roman"/>
          <w:b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V. Порядок и условия оплаты труда руководителя Учреждения,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заместителя руководителя Учреждения, главного бухгалтера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color w:val="000000" w:themeColor="text1"/>
        </w:rPr>
      </w:r>
      <w:bookmarkStart w:id="3" w:name="P216"/>
      <w:r>
        <w:rPr>
          <w:color w:val="000000" w:themeColor="text1"/>
        </w:rPr>
      </w:r>
      <w:bookmarkEnd w:id="3"/>
      <w:r>
        <w:rPr>
          <w:rFonts w:ascii="Times New Roman" w:hAnsi="Times New Roman"/>
          <w:color w:val="000000" w:themeColor="text1"/>
        </w:rPr>
      </w:r>
      <w:r>
        <w:rPr>
          <w:rFonts w:ascii="Times New Roman" w:hAnsi="Times New Roman"/>
          <w:color w:val="000000" w:themeColor="text1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5.1. Фонд оплаты труда руководителя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заместителя руководителя Учреждения, главного бухгалтера Учреждения состоит из: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оклада;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компенсационных выплат;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стимулирующих выплат;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иных выплат, предусмотренных настоящим Положением.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5.2.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Предельный уровень соотношения среднемесячной заработной платы руководителя Учреждения, заместителя руководителя Учреждения, главного бухгалтера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формируемой за счет всех источников финансового обеспечения и рассчитываемой за календарный год, 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среднемесячной заработной платы работников Учреждения (без учета заработной платы руководителя Учреждения, заместителя руководителя Учреждения и главного бухгалтера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Учреждения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определяется муниципальным правовым актом.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Информация о рассчитываемой за кале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ндарный год среднемесячной заработной плате руководителя Учреждения, заместителя руководителя Учреждения, главного бухгалтера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Учреждения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размещается в информационно-телекоммуникационной сети "Интернет" в порядке, установленном муниципальным правовым актом.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5.3. Размеры окладов заместителя руководителя Учреждения, главного бухгалтера Учреждения устанавливаются на 10-30 процентов ниже размера оклада руководителя Учреждения.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5.4. Размеры окладов и выплаты за интенсивность и высокие результаты работы руковод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ителя Учреждения, заместителя руководителя Учреждения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главного бухгалтера Учреждения устанавливаются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 w:type="textWrapping" w:clear="all"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таблицей 4.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4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/>
          <w:b/>
          <w:color w:val="000000" w:themeColor="text1"/>
          <w:sz w:val="16"/>
          <w:szCs w:val="16"/>
        </w:rPr>
      </w:r>
      <w:r>
        <w:rPr>
          <w:rFonts w:ascii="Times New Roman" w:hAnsi="Times New Roman"/>
          <w:b/>
          <w:color w:val="000000" w:themeColor="text1"/>
          <w:sz w:val="16"/>
          <w:szCs w:val="16"/>
        </w:rPr>
      </w:r>
      <w:r>
        <w:rPr>
          <w:rFonts w:ascii="Times New Roman" w:hAnsi="Times New Roman"/>
          <w:b/>
          <w:color w:val="000000" w:themeColor="text1"/>
          <w:sz w:val="16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Размеры окладов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и выплаты за интенсивность и высокие результаты работы руководителя Учреждения, заместителя руководителя Учреждения и главного бухгалтера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0"/>
        <w:gridCol w:w="3086"/>
        <w:gridCol w:w="2508"/>
        <w:gridCol w:w="3223"/>
      </w:tblGrid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должности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107" w:right="-100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Размер оклада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-107" w:right="-100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(руб.)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Выплаты за интенсивность и высокие результаты работы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(в % к окладу)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1.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Директор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33 215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135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2.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Заместитель директора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23 257 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до 120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8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3.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Главный бухгалтер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23 257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до 120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5.5. Компенсационные выплаты руководителю Учреждения, заместителю руководителя Учреждения,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главному бухгалтеру Учреждения устанавливаются в соответствии с </w:t>
      </w:r>
      <w:hyperlink r:id="rId11" w:tooltip="http://admnv.cloud.consultant.ru/cons?rnd=2816E11FC261E82B9D1E652D72C0B822&amp;req=doc&amp;base=RLAW926&amp;n=190685&amp;dst=100143&amp;fld=134&amp;date=13.02.2020" w:history="1">
        <w:r>
          <w:rPr>
            <w:rStyle w:val="85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разделом III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5.6. Руководителю Учреждения устанавливаются следующие стимулирующие выплаты: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выплата за интенсивность и высокие результаты работы - в размере</w:t>
        <w:br/>
        <w:t xml:space="preserve">не более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135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процентов от оклада на условиях, предусмотренных трудовым договором;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премии по итогам работы за месяц, год - в порядке и на условиях, предусмотренных пунктом 5.7 раздела V настоящего Положения.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Размеры и условия осуществления компенсационных, стимулирующих     и иных выплат заместителю директора Учреждения, главному бухг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алтеру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устанавливаются коллективным договором, соглашениями, локальными нормативными актами Учреждения.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5.7. Премии руководителю Учреждения производятся по итогам работы за месяц и год.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5.7.1. Порядок и условия предоставления руководителю Учреждения ежемес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ячной премии.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Ежемесячная премия руководителю Учреждения устанавливается              в размере не более 50 процентов от оклада на условиях, предусмотренных трудовым договором.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Ежемесячная премия выплачивается при условии качественного                и сво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евременного выполнения руководителем Учреждения условий, предусмотренных трудовым договором, и осуществления задач и функций, определенных Уставом Учреждения, на основании отчета, направляемого руководителем Учреждения учредителю Учреждения ежемесячно, до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 числа месяца, следующего за отчетным, по форме согласно приложению                      к настоящему Положению.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Ежемесячная премия выплачивается за фактически отработанное время           в календарном месяце. Фактически отработанное время в календарном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месяце для расчета ежемесячной премии определяется согласно табелю учета рабочего времени.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5.7.2. Ежемесячная премия руководителю Учреждения снижается по следующим основаниям: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 нарушении сроков представления установленной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отчетности,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а такж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при представлении недостоверных данных в отчетных документах - до 10 процентов;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 нарушении финансовой дисциплины в Учреждении, в том числе при нарушении учета материальных ценностей, наличии просроченной задолженности по налогам и неналоговым платеж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ам в бюджет и внебюджетные фонды, нарушении установленного срока выплат денежных средств, причитающихся работникам Учреждения, неисполнении имеющихся                  у Учреждения договорных обязательств по расчетам и при других нарушениях финансового хара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ктера, - до 30 процентов;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 невыполнении обязанностей по эффективному и целевому использованию муниципального имущества, закрепленного за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Учреждением,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а также при непринятии мер по обеспечению сохранности имущества, повлекшем его утрату, - до 30 пр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оцентов;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при нарушении правил охраны труда, техники безопасности, пожарной безопасности - до 10 процентов.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5.7.3.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Порядок и условия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предоставления руководителю Учреждения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премии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по итогам работы за год (далее - премия за год).</w:t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strike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Премия за год выплачивается руководителю Учреждения в размере не более 2 месячных фондов оплаты труда.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Премия за год выплачивается руководителю Учреждения, в том числе проработавшему неполный календарный год (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кроме случаев увольнения за виновные действия)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за фактически отработанное время в календарном году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white"/>
        </w:rPr>
        <w:t xml:space="preserve">В отработанное время в календарном году для расчета размера премии за год включается время работ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white"/>
        </w:rPr>
        <w:t xml:space="preserve">ы по табелю учета рабочего времени, дни нахождения в служебной командировке, период прохождения подготовки руководителем Учреждения работника (профессиональное образование              и профессиональное обучение) и получения дополнительного профессиональн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white"/>
        </w:rPr>
        <w:t xml:space="preserve">ого образования по инициативе работодателя, дни работы         в выходные и нерабочие праздничные дни на основании соответствующего распоряжения работодателя, время нахождения в ежегодном оплачиваемом отпуске.</w:t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strike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Премия за год руководителю Учреждения выплачи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вается с учетом оценки эффективности его работы, проводимой в соответствии с критериями оценки эффективности деятельности руководителя Учреждения, согласно таблице 5.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5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Критерии оценки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эффективности деятельности руководителя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410"/>
        <w:gridCol w:w="2551"/>
        <w:gridCol w:w="1024"/>
      </w:tblGrid>
      <w:tr>
        <w:tblPrEx/>
        <w:trPr>
          <w:trHeight w:val="20"/>
        </w:trPr>
        <w:tc>
          <w:tcPr>
            <w:tcW w:w="426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критерия оценки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эффективности деятельности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руководителя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Источник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информации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Критерий оценки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эффективности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деятельности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Вес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критерия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в баллах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96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. Критерии оценки эффективности организации работы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по осуществлению основной деятельности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1.1.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фактов нарушения действующего законодательства по результатам проверок контрольных, надзорных                и правоохранительных органов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акты проверок, представления контрольных, надзорных и правоохранительных органов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нарушений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677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нарушений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1.2.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Удовлетворенность физических       и юридических лиц качеством выполняемых работ: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по охране, защите, воспроизводству, городских лесов;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по благоустройству ландшафта;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обращения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физических  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юридических лиц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              в органы местного самоуправления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обоснованных обращений, поступивших от физических                    и юридических лиц            в органы местного самоуправления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07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обоснованных обращений, поступивших от физических                     и юридических лиц             в органы местного самоуправления: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за каждое обращение - минус 0,5 балла;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при наличии 20 жалоб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 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баллов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458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1.3.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азмещение информации                 об Учреждении на официальном сайте в информационно-телекоммуникационной сети "Интернет" в соответствии </w:t>
              <w:br/>
              <w:t xml:space="preserve">с приказом Министерства финансов Российской Федерации от 21.07.2011 №86-н "Об утверждении порядка предоставления ин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формации государственным (муниципальным) учреждением, ее размещения       на официальном сайте в сети Интернет и ведения указанного сайта"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официальный сайт             в информационно-телекоммуникационной сети "Интернет" (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www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bus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gov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ru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)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размещение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    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 w:type="textWrapping" w:clear="all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 своевременная актуализация информации об Учреждении на официальном сайте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br w:type="textWrapping" w:clear="all"/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в информационно-телекоммуникационной сети "Интернет"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1799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на официальном сайте в информационно-телекоммуникационной сети "Интернет" неактуальной, недостоверной информации либо отсутствие информации            об Учреждении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Совокупная значимость критериев оценки по разделу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I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- 25 баллов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II. Критерии оценки эффективности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финансово-экономической деятельности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483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2.1.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Целевое и эффективное использование бюджетных средств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отчетность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просроченной дебиторской </w:t>
              <w:br/>
              <w:t xml:space="preserve">и кредиторской задолженности, нарушений финансово-хозя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йственной деятельности, приведших к нецелевому </w:t>
              <w:br/>
              <w:t xml:space="preserve">и неэффективному расходованию бюджетных средств; отсутствие задолженности в бюджеты различных уровней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317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просроченной дебиторской </w:t>
              <w:br/>
              <w:t xml:space="preserve">и кредиторской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задолженности, нарушений финансово-хозяйственной деятельности, приведших к нецелевому </w:t>
              <w:br/>
              <w:t xml:space="preserve">и неэффективному расходованию бюджетных средств; наличие задолженности в бюджеты различных уровней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463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2.2.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Целевое и эффективное использование муниципального имущества, переданного Учреждению на праве оперативного управления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акты проверок: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контролирующих органов;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- учредителя Учреждения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замечаний        со стороны контролирующих органов, учредител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я Учреждения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477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замечаний           со стороны контролирующих органов, учредителя Учреждения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2.3.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Соблюдение сроков выплаты       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заработной платы, а также иных выплат, предусмотренных локальным актом Учреждения, </w:t>
              <w:br/>
              <w:t xml:space="preserve">в полном объеме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отчетность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соблюдение сроков выплаты заработной платы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543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несоблюдение сроков выплаты заработной платы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99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2.4.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Соблюдение предельного уровня соотношения среднемесячной заработной платы руководителя Учреждения и работников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постановление администрации города                 от 23.12.2016 №1890 информация о</w:t>
            </w:r>
            <w:r>
              <w:rPr>
                <w:rFonts w:ascii="Times New Roman" w:hAnsi="Times New Roman" w:eastAsia="Times New Roman"/>
                <w:color w:val="000000" w:themeColor="text1"/>
                <w:sz w:val="21"/>
                <w:szCs w:val="21"/>
                <w:lang w:eastAsia="ru-RU"/>
              </w:rPr>
              <w:t xml:space="preserve"> среднемесячной заработной плате руководителя Учреж</w:t>
            </w:r>
            <w:r>
              <w:rPr>
                <w:rFonts w:ascii="Times New Roman" w:hAnsi="Times New Roman" w:eastAsia="Times New Roman"/>
                <w:color w:val="000000" w:themeColor="text1"/>
                <w:sz w:val="21"/>
                <w:szCs w:val="21"/>
                <w:lang w:eastAsia="ru-RU"/>
              </w:rPr>
              <w:t xml:space="preserve">дения и среднемесячной заработной плате работников соответствующих Учреждений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соблюдение предельного уровня соотношения среднемесячной заработной платы руководителя Учреждения и работников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1420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несоблюдение предельного уровня соотношения среднемесячной заработной платы руководителя Учреждения и работников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1441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2.5.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Исполнение Плана финансово-хозяйственной деятельности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Учреждения за отчетный финансовый год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отчет Учреждения           об исполнении бюджета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кассовое исполнение Плана ФХД Учреждения        составляет 95% и выше     от планового значения        за отчетный финансовый год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698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кассовое исполнение Плана ФХД Учреждения                 составляет менее 95%        от планового значения         за отчетный финансовый год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332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2.6.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Своевременность представления периодических отчетов, статистической отчетности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отчетность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соблюдение сроков, установленных порядков           и форм представления сведений, отчетов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</w:r>
            <w:r>
              <w:rPr>
                <w:rFonts w:ascii="Times New Roman" w:hAnsi="Times New Roman"/>
                <w:b/>
                <w:sz w:val="21"/>
                <w:szCs w:val="21"/>
              </w:rPr>
            </w:r>
            <w:r>
              <w:rPr>
                <w:rFonts w:ascii="Times New Roman" w:hAnsi="Times New Roman"/>
                <w:b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нарушение сроков, установленных порядков           и форм представления сведений, отчетов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140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Совокупная значимость критериев оценки по разделу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II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- 55 баллов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72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III. Критерии оценки исполнительской дисциплины 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  <w:t xml:space="preserve">руководителя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469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3.1.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дисциплинарных взысканий в отношении руководителя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распоряжения о применении дисциплинарного взыскания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дисциплинарных взысканий </w:t>
              <w:br/>
              <w:t xml:space="preserve">и административных наказаний у руководителя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766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дисциплинарных взысканий </w:t>
              <w:br/>
              <w:t xml:space="preserve">и административных наказаний у руководителя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1535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3.2.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Своевременное исполнение запросов учредителя Учреждения, ответов на обращения физических          и юридических лиц,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а также объективное и полное рассмотрение запросов </w:t>
              <w:br/>
              <w:t xml:space="preserve">и обращений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ответы на запросы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отсутствие случаев           несоблюдения сроков исполнения запросов учредителя Учреждения, ответов на обращения физических </w:t>
              <w:br/>
              <w:t xml:space="preserve">и юридических лиц </w:t>
              <w:br/>
              <w:t xml:space="preserve">с объективным и полным рассмотрен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ием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наличие случаев несоблюдения сроков исполнения запросов учредителя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Учреждения, ответов на обращения физических </w:t>
              <w:br/>
              <w:t xml:space="preserve">и юридических лиц </w:t>
              <w:br/>
              <w:t xml:space="preserve">с объективным и полным рассмотрением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restart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3.3.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Своевременное и качественное выполнение поручений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главы  города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и учредителя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поручения главы города и учредителя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выполнение поручений главы города и учредителя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vMerge w:val="continue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</w:r>
            <w:r>
              <w:rPr>
                <w:rFonts w:ascii="Times New Roman" w:hAnsi="Times New Roman"/>
                <w:b/>
                <w:sz w:val="21"/>
                <w:szCs w:val="21"/>
              </w:rPr>
            </w:r>
            <w:r>
              <w:rPr>
                <w:rFonts w:ascii="Times New Roman" w:hAnsi="Times New Roman"/>
                <w:b/>
                <w:sz w:val="21"/>
                <w:szCs w:val="21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ind w:left="-57" w:right="-57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410" w:type="dxa"/>
            <w:vMerge w:val="continue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ind w:left="-57" w:right="-57"/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невыполнение поручений главы города и учредителя Учреждения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  <w:tc>
          <w:tcPr>
            <w:tcW w:w="1024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70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Совокупная значимость критериев оценки по разделу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  <w:lang w:val="en-US"/>
              </w:rPr>
              <w:t xml:space="preserve">III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 - 20 баллов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W w:w="9671" w:type="dxa"/>
            <w:textDirection w:val="lrTb"/>
            <w:noWrap w:val="false"/>
          </w:tcPr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Итоговая совокупная значимость критериев оценки эффективности деятельности 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</w:r>
          </w:p>
          <w:p>
            <w:pPr>
              <w:ind w:left="-113" w:right="-11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руководителя Учреждения - 100 баллов</w:t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Руководитель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 обязан в срок, установленный законодательством Российской Федерации для представления годовой отчетности, представлять в адрес Учредителя отчет о деятельности руководителя Учреждения (далее - отчет) по форме согласно таблице 6 за отчетный перио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  <w:br/>
        <w:t xml:space="preserve">в соответствии с критериями оценки эффективности деятельности руководителя Учреждения вместе с пояснительной запиской, которая должна содержать сведения о причинах, повлиявших на результат выполнения показателей. Отчет подписывается руководителем Учрежде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главным бухгалтером Учреждения.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6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деятельности руководителя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709"/>
        <w:gridCol w:w="1134"/>
        <w:gridCol w:w="1276"/>
        <w:gridCol w:w="1417"/>
      </w:tblGrid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Наименование критерия оценки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эффективности деятельности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руководителя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72" w:right="-3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Ед.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-72" w:right="-33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изм.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Факт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Результат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выполнения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показателя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Критерии оценки эффективности организации работы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по осуществлению основной деятельности Учреждения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Совокупная значимость критериев оценки по разделу 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Критерии оценки эффективности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финансово-экономической деятельности Учреждения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Совокупная значимость критериев оценки по разделу 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III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. Критерии оценки исполнительской дисциплины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руководителя Учреждения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567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453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n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Совокупная значимость критериев оценки по разделу III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6"/>
            <w:tcW w:w="963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Итоговая совокупная значимость критериев оценки эффективности деятельности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руководителя Учреждения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Учредитель на основе представленного отчета определяет результат выполнения показателей критериев оценки эффективности деятельности руководителя Учреждения за отчетный период, который оценивается определенной суммой баллов. Для оценки значения каждого пока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зателя критериев оценки эффективности деятельности руководителя Учреждения формируется вес критерия, который позволяет в зависимости от значения показателя присваивать количество баллов.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Размер премии за год руководителю Учреждения в процентном отношении 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 размера премии за год, установленного трудовым договором, определяется </w:t>
        <w:br/>
        <w:t xml:space="preserve">в соответствии со шкалой перевода баллов для премии за год руководителю Учреждения согласно таблице 7.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Таблица 7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Шкала перевода баллов для премии за год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руководителю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tbl>
      <w:tblPr>
        <w:tblpPr w:horzAnchor="text" w:tblpX="108" w:vertAnchor="text" w:tblpY="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Коли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чество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полученных баллов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Процент от размера премии за год,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установленного трудовым договором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0 - 10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11 - 20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8"/>
        </w:trPr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21 - 40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41 - 60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61 - 80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75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39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81 - 100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При сумме баллов, соответствующей выполнению показателей критериев оценки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эффективности деятельности руководителя Учреждения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размер премии за год равен 100% от размера премии за год руководителю Учреждения за отчетный период, установленного трудовым догов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ором.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Cs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невыполнения одного из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показателей критериев оценки эффективности деятельности руководителя Учреждения сумма баллов уменьшается и, соответственно,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размер премии за год руководителю Учреждения за отчетный период снижается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5.8. Выплаты, преду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смотренные пунктом 5.7 раздела V настоящего Положения, руководителю Учреждения производятся по согласованию                    с Учредителем.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5.9. Решение о выплате ежемесячной премии в меньшем размере, чем предусмотрено в трудовом договоре, или об их нев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ыплате по основаниям, предусмотренным подпунктом 5.7.2 пункта 5.7 раздела V настоящего Положения, принимается Учредителем.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5.10. Заместителю руководителя Учреждения и главному бухгалтеру Учреждения устанавливаются следующие стимулирующие выплаты: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выплата за интенсивность и высокие результаты работы в размере до 120 процентов от оклада - в порядке и на условиях, предусмотренных пунктом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4.2 </w:t>
      </w:r>
      <w:hyperlink r:id="rId12" w:tooltip="http://admnv.cloud.consultant.ru/cons?rnd=2816E11FC261E82B9D1E652D72C0B822&amp;req=doc&amp;base=RLAW926&amp;n=190685&amp;dst=100178&amp;fld=134&amp;date=13.02.2020" w:history="1">
        <w:r>
          <w:rPr>
            <w:rStyle w:val="85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раздела IV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ежемесячная премия - в порядке и на условиях, предусмотренных пунктом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4.3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hyperlink r:id="rId13" w:tooltip="http://admnv.cloud.consultant.ru/cons?rnd=2816E11FC261E82B9D1E652D72C0B822&amp;req=doc&amp;base=RLAW926&amp;n=190685&amp;dst=100200&amp;fld=134&amp;date=13.02.2020" w:history="1">
        <w:r>
          <w:rPr>
            <w:rStyle w:val="85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раздела IV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премия по итогам работы за год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- в порядке и на условиях, предусмотренных пунктом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4.4 </w:t>
      </w:r>
      <w:hyperlink r:id="rId14" w:tooltip="http://admnv.cloud.consultant.ru/cons?rnd=2816E11FC261E82B9D1E652D72C0B822&amp;req=doc&amp;base=RLAW926&amp;n=190685&amp;dst=100200&amp;fld=134&amp;date=13.02.2020" w:history="1">
        <w:r>
          <w:rPr>
            <w:rStyle w:val="857"/>
            <w:rFonts w:ascii="Times New Roman" w:hAnsi="Times New Roman"/>
            <w:color w:val="000000" w:themeColor="text1"/>
            <w:sz w:val="28"/>
            <w:szCs w:val="28"/>
            <w:highlight w:val="white"/>
            <w:u w:val="none"/>
          </w:rPr>
          <w:t xml:space="preserve">раздела IV</w:t>
        </w:r>
      </w:hyperlink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настоящ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его Положения;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премия за выполнение особо важных и сложных заданий в порядке и на условиях, предусмотренных пунктом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4.5 </w:t>
      </w:r>
      <w:hyperlink r:id="rId15" w:tooltip="http://admnv.cloud.consultant.ru/cons?rnd=2816E11FC261E82B9D1E652D72C0B822&amp;req=doc&amp;base=RLAW926&amp;n=190685&amp;dst=100200&amp;fld=134&amp;date=13.02.2020" w:history="1">
        <w:r>
          <w:rPr>
            <w:rStyle w:val="85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раздела IV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5.11. Иные выплаты руководителю Учреждения, заместителю руководителя Учреждения и главному бухгалтеру Учреждения производ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ятся     в соответствии с </w:t>
      </w:r>
      <w:hyperlink r:id="rId16" w:tooltip="http://admnv.cloud.consultant.ru/cons?rnd=2816E11FC261E82B9D1E652D72C0B822&amp;req=doc&amp;base=RLAW926&amp;n=190685&amp;dst=100233&amp;fld=134&amp;date=13.02.2020" w:history="1">
        <w:r>
          <w:rPr>
            <w:rStyle w:val="85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разделом </w:t>
        </w:r>
        <w:r>
          <w:rPr>
            <w:rStyle w:val="857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VI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5.12. Руководителю Учреждения, заместителю руководителя Учреждения и главному бухгалтеру 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чреждения за организацию работы по оказанию платных услуг населению производится выплата в соответствии с локальным нормативным актом Учреждения, регулирующим порядок оплаты труда, за счет средств, полученных от данной деятельности.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Иные выплаты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left="108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К ин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ым выплатам относятся следующие выплаты: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6.1. Единовременная выплата при предоставлении ежегодного оплачиваемого отпуска.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Работникам Учреждения один раз в календарном году при предоставлении ежегодного оплачиваемого отпуска на основании письменного заявлен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ия работника выплачивается единовременная выплата к отпуску в размере одного месячного фонда оплаты труда по основному месту работу по основной занимаемой должности работника.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Размер единовременной выплаты к отпуску не зависит от итогов оценки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труда работника.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Единовременная выплата к отпуску руководителю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Учреждения производится на основании распоряжения работодателя о предоставлении ежегодного оплачиваемого отпуска.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Право на получение единовременной выплаты к отпуску для вновь принятых работни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ков возникает по истечении шести месяцев работы                  в Учреждении.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Единовременная выплата к отпуску не выплачивается работникам, использовавшим право на ее получение в текущем календарном году                  в муниципальном учреждении или пре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дприятии города Нижневартовска, органе местного самоуправления города Нижневартовска.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Использование права на получение единовременной выплаты к отпуску подтверждается справкой с прежнего места работы.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случае разделения ежегодного оплачиваемого отпуска 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установленном порядке на части единовременная выплата к отпуску выплачивается работнику Учреждения при предоставлении любой из частей указанного отпуска продолжительностью не менее 14 календарных дней.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6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6.2. Единовременная выплата к юбилейной дате работник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Единовременная выплата к юбилейной дате производится работнику Учреждения, проработавшему в муниципальных учреждениях и предприятиях города Нижневартовска 15 и более лет, в связи с достижением возраста 50 лет   и далее через каждые последующие полные 5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лет в размере одного месячного фонда оплаты труда по основной занимаемой должности.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6.3.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Единовременная выплата к праздничным дням, профессиональным праздникам.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pStyle w:val="71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Условия единовременного премирования к праздничным дням, профессиональным праздникам, предусмот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рены в соответствии </w:t>
        <w:br/>
        <w:t xml:space="preserve">с действующими на территории Российской Федерации нормативными правовыми актами: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716"/>
        <w:ind w:firstLine="708"/>
        <w:jc w:val="both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- к профессиональному празднику Дню работника леса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третье воскресенье сентября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- к Дню города (9 марта);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- к Дню образования Ханты-Мансийского автономного округа - Югры           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  (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10 декабря).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Единовременные выплаты производятся работникам Учреждения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  <w:br/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в едином (абсолютном) размере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Размер единовременной выплаты к праздничным дням, профессиональным праздникам не может превышать 10 (десять) тысяч рублей. 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Общая сумма единовременных выплат, предусмотренных настоящим пунктом, выплаченных работнику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Учреждения за счет обоснованной экономии средств фонда оплаты труда, не должна превышать 30 (тридцати) тысяч рублей за календарный год.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Конкретный размер единовременных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выплат, предусмотренных настоящим пунктом, устанавливается локальным нормативным актом Учреждения.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этом должно быть установлено, что единовременные выплаты к праздничным дням, профессиональным праздникам могут осуществляться </w:t>
        <w:br/>
        <w:t xml:space="preserve">в Учреждении в едином разме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 в отношении работников и руководящего состава Учреждения не более 3 раз в календарном году.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716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Единовременные выплаты осуществляются не позднее месяца, следующего после наступления события.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716"/>
        <w:numPr>
          <w:ilvl w:val="1"/>
          <w:numId w:val="6"/>
        </w:numPr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Единовременная выплата работнику Учреждения в связи со смертью членов ег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 семьи (супруг (супруга), родители, дети), а также в случае смерти работника Учреждения одному из членов его семьи производится в размере 10 тысяч рублей на основании заявления работника Учреждения (а в случае смерти работника Учреждения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 заявления одного из членов его семьи).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заявлению в обязательном порядке прилагаются документы, подтверждающие факт смерти и степень родства.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6.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Единовременная выплата в связи с выходом на пенсию.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Единовременная выплата в связи с выходом на пенсию вы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плачивается      в размере одного месячного фонда оплаты труда по основной занимаемой должности на дату выхода на пенсию на основании заявления работника Учреждения.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Право на получение единовременной выплаты в связи с выходом на пенсию возникает у работник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ов, увольняющихся по собственному желанию      в связи с выходом на пенсию по достижении пенсионного возраста впервые, проработавшим в муниципальных учреждениях и предприятиях города Нижневартовска не менее 10 лет.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6.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. Иные выплаты работникам Учреждения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выплачиваются на основании приказа руководителя Учреждения.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Руководителю Учреждения иные выплаты, предусмотренные пунктами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6.2-6.5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раздела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 w:eastAsia="ru-RU"/>
        </w:rPr>
        <w:t xml:space="preserve">VI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производятся по согласованию с Учредителем.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6.7. Иные выплаты, предусмотренные пунктами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6.2-6.5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раздела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en-US" w:eastAsia="ru-RU"/>
        </w:rPr>
        <w:t xml:space="preserve">VI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 про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изводятся за счет экономии средств фонда оплаты труда, предусмотренного в пределах объема субсидии на финансовое обеспечение выполнения муниципального задания и средств,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полученных Учреждением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от приносящей доход деятельности.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VII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. Порядок формирования фо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нда оплаты труда Учреждения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7.1. Фонд оплаты труда работников Учреждения формируется на календарный год в пределах предоставленного Учреждению из средств бюджета города объема субсидии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на финансовое обеспечение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задания, а также средств, полученных Учреждением от приносящей доход деятельности.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7.2. Фонд оплаты труда Учреждения определяется суммированием из расчета на календарный год должностных окладов, компенсационных                и стимулирующи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 выплат, а также иных выплат, предусмотренных настоящим Положением.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7.3. При формировании годового фонда оплаты труда учитываются: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- годовой окладный фонд по должностям;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компенсационные выплаты в размере 3,08 годового окладного фонда;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тимулирующие выплаты в размере 2,00 годового окладного фонда.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иные выплаты в размере 0,45 годового окладного фонда.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VIII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 Заключительные положения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Verdana" w:hAnsi="Verdana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 8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.1. Руководитель Учреждения несет ответственность за правильность формирования фонда оплаты труда работ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ников Учреждения и обеспечивает соблюдение установленных требований.</w:t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  <w:r>
        <w:rPr>
          <w:rFonts w:ascii="Verdana" w:hAnsi="Verdana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8.2. Руководитель Учреждения несет персональную ответственность за соблюдение установленного предельного уровня соотношения среднемесячной заработной платы заместителя руководителя Учрежд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ения и главного бухгалтера Учреждения.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498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</w:rPr>
              <w:br w:type="page" w:clear="all"/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Приложение к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оложению об оплате труда      и выплатах социального характера работникам муниципального бюджетного учреждения "Управление лесопаркового хозяйства города Нижневартовска"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Отчет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о деятельности руководителя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__________________________________________________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(наименование учреждения)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за ___________ 20___ года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(месяц)</w:t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/>
          <w:color w:val="000000" w:themeColor="text1"/>
          <w:sz w:val="20"/>
          <w:szCs w:val="20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Ежемесячная премия выплачивается при 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словии качественного                   и своевременного выполнения руководителем Учреждения условий, предусмотренных трудовым договором, и осуществления задач и функций, определенных Уставом Учреждения.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before="240"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Ежемесячная премия руководителю Учреждения снижается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по следующим основаниям: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4678"/>
        <w:gridCol w:w="1418"/>
        <w:gridCol w:w="1417"/>
        <w:gridCol w:w="851"/>
        <w:gridCol w:w="7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Наименование показателя снижения ежемесячной премии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Измерение показателя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Целевое значение показателя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Фактическое значение показателя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да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нет</w:t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0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При нарушении сроков представления установленной отчетности, а также при представлении недостоверных данных         в отчетных документах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 10 %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При нарушении финансовой дисциплины    в Учреждении, в том числе при нарушении учета материальных ценностей, наличии просроченной задолженности по налогам   и неналоговым платежам в бюджет               и внебюджетные фонды, нарушении установленного срока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выплат денежных средств, причитающихся работникам Учреждения, неисполнении имеющихся      у Учреждения договорных обязательств по расчетам и при других нарушениях финансового характера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 30%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При невыполнении обязанностей по эффективному и целевому использованию муниципального имущества, закрепленного за Учреждением, а также при непринятии мер по обеспечению сохранности имущества, повлекшем его утрату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 30%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8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При нарушении правил о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храны труда, техники безопасности, противопожарной безопасности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да/нет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 10%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540"/>
        <w:jc w:val="both"/>
        <w:spacing w:after="0" w:line="240" w:lineRule="auto"/>
        <w:widowControl w:val="off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Отчет подготовил: ____________________________________________________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2410"/>
        <w:jc w:val="center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8"/>
        </w:rPr>
      </w:pPr>
      <w:r>
        <w:rPr>
          <w:rFonts w:ascii="Times New Roman" w:hAnsi="Times New Roman" w:eastAsia="Times New Roman"/>
          <w:color w:val="000000" w:themeColor="text1"/>
          <w:sz w:val="20"/>
          <w:szCs w:val="28"/>
          <w:lang w:eastAsia="ru-RU"/>
        </w:rPr>
        <w:t xml:space="preserve">(должность, фамилия, имя, отчество, телефон)</w:t>
      </w:r>
      <w:r>
        <w:rPr>
          <w:rFonts w:ascii="Times New Roman" w:hAnsi="Times New Roman" w:eastAsia="Times New Roman"/>
          <w:color w:val="000000" w:themeColor="text1"/>
          <w:sz w:val="20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Руководитель Учреждения _____________________________________________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3828"/>
        <w:spacing w:after="0" w:line="240" w:lineRule="auto"/>
        <w:rPr>
          <w:rFonts w:ascii="Times New Roman" w:hAnsi="Times New Roman" w:eastAsia="Times New Roman"/>
          <w:color w:val="000000" w:themeColor="text1"/>
          <w:sz w:val="20"/>
          <w:szCs w:val="28"/>
        </w:rPr>
      </w:pPr>
      <w:r>
        <w:rPr>
          <w:rFonts w:ascii="Times New Roman" w:hAnsi="Times New Roman" w:eastAsia="Times New Roman"/>
          <w:color w:val="000000" w:themeColor="text1"/>
          <w:sz w:val="20"/>
          <w:szCs w:val="28"/>
          <w:lang w:eastAsia="ru-RU"/>
        </w:rPr>
        <w:t xml:space="preserve">                          (фамилия, инициалы)</w:t>
      </w:r>
      <w:r>
        <w:rPr>
          <w:rFonts w:ascii="Times New Roman" w:hAnsi="Times New Roman" w:eastAsia="Times New Roman"/>
          <w:color w:val="000000" w:themeColor="text1"/>
          <w:sz w:val="20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0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ЛИСТ СОГЛАСОВАНИЯ К ОТЧЕТУ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229"/>
        <w:gridCol w:w="236"/>
        <w:gridCol w:w="3174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СОГЛАСЕН / НЕ СОГЛАСЕН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8"/>
                <w:lang w:eastAsia="ru-RU"/>
              </w:rPr>
              <w:t xml:space="preserve">(нужное подчеркнуть)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руководителя 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(наименование учредителя учреждения)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(фамилия, инициалы)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СОГЛАСЕН / НЕ СОГЛАСЕН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8"/>
                <w:lang w:eastAsia="ru-RU"/>
              </w:rPr>
              <w:t xml:space="preserve">(нужное подчеркнуть)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(наименование отдела учредителя учреждения)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(фамилия, инициалы)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СОГЛАСЕН / НЕ СОГЛАСЕН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8"/>
                <w:lang w:eastAsia="ru-RU"/>
              </w:rPr>
              <w:t xml:space="preserve">(нужное подчеркнуть)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(наименование отдела учредителя учреждения)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(фамилия, инициалы)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  <w:t xml:space="preserve">СОГЛАСОВАНО</w:t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1. Выплата за интенсивность и высокие результаты работы                                в размере _________% от оклада.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/>
          <w:color w:val="000000" w:themeColor="text1"/>
          <w:sz w:val="16"/>
          <w:szCs w:val="16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16"/>
          <w:szCs w:val="16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16"/>
          <w:szCs w:val="1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  <w:t xml:space="preserve">2. Премия по итогам работы за месяц в размере ________% от оклада.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 w:themeColor="text1"/>
          <w:sz w:val="28"/>
          <w:szCs w:val="28"/>
        </w:rPr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6229"/>
        <w:gridCol w:w="236"/>
        <w:gridCol w:w="317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22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  <w:t xml:space="preserve">Руководитель</w:t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622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(наименование учредителя учреждения)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  <w:tc>
          <w:tcPr>
            <w:tcBorders>
              <w:top w:val="single" w:color="000000" w:sz="4" w:space="0"/>
            </w:tcBorders>
            <w:tcW w:w="3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  <w:t xml:space="preserve">(фамилия, инициалы)</w:t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8"/>
              </w:rPr>
            </w:r>
          </w:p>
        </w:tc>
      </w:tr>
    </w:tbl>
    <w:p>
      <w:pPr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9"/>
      <w:footnotePr/>
      <w:endnotePr/>
      <w:type w:val="nextPage"/>
      <w:pgSz w:w="11905" w:h="16838" w:orient="portrait"/>
      <w:pgMar w:top="1134" w:right="567" w:bottom="1276" w:left="1701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alibri Light">
    <w:panose1 w:val="020F05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12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6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4"/>
      <w:numFmt w:val="decimal"/>
      <w:isLgl w:val="false"/>
      <w:suff w:val="tab"/>
      <w:lvlText w:val="%1.%2."/>
      <w:lvlJc w:val="left"/>
      <w:pPr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2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9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304" w:hanging="2160"/>
      </w:p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multiLevelType w:val="hybridMultilevel"/>
    <w:lvl w:ilvl="0">
      <w:start w:val="4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57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1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07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07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43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79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79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150" w:hanging="21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Heading 3 Char"/>
    <w:basedOn w:val="703"/>
    <w:link w:val="696"/>
    <w:uiPriority w:val="9"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03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03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03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0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0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0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03"/>
    <w:link w:val="717"/>
    <w:uiPriority w:val="10"/>
    <w:rPr>
      <w:sz w:val="48"/>
      <w:szCs w:val="48"/>
    </w:rPr>
  </w:style>
  <w:style w:type="character" w:styleId="690">
    <w:name w:val="Intense Quote Char"/>
    <w:link w:val="723"/>
    <w:uiPriority w:val="30"/>
    <w:rPr>
      <w:i/>
    </w:rPr>
  </w:style>
  <w:style w:type="character" w:styleId="691">
    <w:name w:val="Footnote Text Char"/>
    <w:link w:val="858"/>
    <w:uiPriority w:val="99"/>
    <w:rPr>
      <w:sz w:val="18"/>
    </w:rPr>
  </w:style>
  <w:style w:type="character" w:styleId="692">
    <w:name w:val="Endnote Text Char"/>
    <w:link w:val="861"/>
    <w:uiPriority w:val="99"/>
    <w:rPr>
      <w:sz w:val="20"/>
    </w:rPr>
  </w:style>
  <w:style w:type="paragraph" w:styleId="693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4">
    <w:name w:val="Heading 1"/>
    <w:basedOn w:val="693"/>
    <w:next w:val="693"/>
    <w:link w:val="886"/>
    <w:uiPriority w:val="9"/>
    <w:qFormat/>
    <w:pPr>
      <w:keepNext/>
      <w:spacing w:before="240" w:after="60"/>
      <w:outlineLvl w:val="0"/>
    </w:pPr>
    <w:rPr>
      <w:rFonts w:ascii="Calibri Light" w:hAnsi="Calibri Light" w:eastAsia="Times New Roman"/>
      <w:b/>
      <w:bCs/>
      <w:sz w:val="32"/>
      <w:szCs w:val="32"/>
      <w:lang w:val="en-US"/>
    </w:rPr>
  </w:style>
  <w:style w:type="paragraph" w:styleId="695">
    <w:name w:val="Heading 2"/>
    <w:basedOn w:val="693"/>
    <w:next w:val="693"/>
    <w:link w:val="887"/>
    <w:uiPriority w:val="9"/>
    <w:unhideWhenUsed/>
    <w:qFormat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  <w:lang w:val="en-US"/>
    </w:rPr>
  </w:style>
  <w:style w:type="paragraph" w:styleId="696">
    <w:name w:val="Heading 3"/>
    <w:basedOn w:val="693"/>
    <w:next w:val="693"/>
    <w:link w:val="70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0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1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1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0">
    <w:name w:val="Heading 7"/>
    <w:basedOn w:val="693"/>
    <w:next w:val="693"/>
    <w:link w:val="71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1">
    <w:name w:val="Heading 8"/>
    <w:basedOn w:val="693"/>
    <w:next w:val="693"/>
    <w:link w:val="71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2">
    <w:name w:val="Heading 9"/>
    <w:basedOn w:val="693"/>
    <w:next w:val="693"/>
    <w:link w:val="71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07" w:customStyle="1">
    <w:name w:val="Heading 2 Char"/>
    <w:uiPriority w:val="9"/>
    <w:rPr>
      <w:rFonts w:ascii="Arial" w:hAnsi="Arial" w:eastAsia="Arial" w:cs="Arial"/>
      <w:sz w:val="34"/>
    </w:rPr>
  </w:style>
  <w:style w:type="character" w:styleId="708" w:customStyle="1">
    <w:name w:val="Заголовок 3 Знак"/>
    <w:link w:val="696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Заголовок 4 Знак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Заголовок 5 Знак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Заголовок 6 Знак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Заголовок 7 Знак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Заголовок 8 Знак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Заголовок 9 Знак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693"/>
    <w:uiPriority w:val="72"/>
    <w:qFormat/>
    <w:pPr>
      <w:ind w:left="708"/>
    </w:pPr>
  </w:style>
  <w:style w:type="paragraph" w:styleId="716">
    <w:name w:val="No Spacing"/>
    <w:uiPriority w:val="99"/>
    <w:qFormat/>
    <w:rPr>
      <w:sz w:val="22"/>
      <w:szCs w:val="22"/>
      <w:lang w:eastAsia="en-US"/>
    </w:rPr>
  </w:style>
  <w:style w:type="paragraph" w:styleId="717">
    <w:name w:val="Title"/>
    <w:basedOn w:val="693"/>
    <w:next w:val="693"/>
    <w:link w:val="718"/>
    <w:uiPriority w:val="10"/>
    <w:qFormat/>
    <w:pPr>
      <w:contextualSpacing/>
      <w:spacing w:before="300"/>
    </w:pPr>
    <w:rPr>
      <w:sz w:val="48"/>
      <w:szCs w:val="48"/>
    </w:rPr>
  </w:style>
  <w:style w:type="character" w:styleId="718" w:customStyle="1">
    <w:name w:val="Заголовок Знак"/>
    <w:link w:val="717"/>
    <w:uiPriority w:val="10"/>
    <w:rPr>
      <w:sz w:val="48"/>
      <w:szCs w:val="48"/>
    </w:rPr>
  </w:style>
  <w:style w:type="paragraph" w:styleId="719">
    <w:name w:val="Subtitle"/>
    <w:basedOn w:val="693"/>
    <w:next w:val="693"/>
    <w:link w:val="888"/>
    <w:uiPriority w:val="11"/>
    <w:qFormat/>
    <w:pPr>
      <w:jc w:val="center"/>
      <w:spacing w:after="60"/>
      <w:outlineLvl w:val="1"/>
    </w:pPr>
    <w:rPr>
      <w:rFonts w:ascii="Calibri Light" w:hAnsi="Calibri Light" w:eastAsia="Times New Roman"/>
      <w:sz w:val="24"/>
      <w:szCs w:val="24"/>
      <w:lang w:val="en-US"/>
    </w:rPr>
  </w:style>
  <w:style w:type="character" w:styleId="720" w:customStyle="1">
    <w:name w:val="Subtitle Char"/>
    <w:uiPriority w:val="11"/>
    <w:rPr>
      <w:sz w:val="24"/>
      <w:szCs w:val="24"/>
    </w:rPr>
  </w:style>
  <w:style w:type="paragraph" w:styleId="721">
    <w:name w:val="Quote"/>
    <w:basedOn w:val="693"/>
    <w:next w:val="693"/>
    <w:link w:val="889"/>
    <w:uiPriority w:val="73"/>
    <w:qFormat/>
    <w:pPr>
      <w:ind w:left="864" w:right="864"/>
      <w:jc w:val="center"/>
      <w:spacing w:before="200" w:after="160"/>
    </w:pPr>
    <w:rPr>
      <w:i/>
      <w:iCs/>
      <w:color w:val="404040"/>
      <w:lang w:val="en-US"/>
    </w:rPr>
  </w:style>
  <w:style w:type="character" w:styleId="722" w:customStyle="1">
    <w:name w:val="Quote Char"/>
    <w:uiPriority w:val="29"/>
    <w:rPr>
      <w:i/>
    </w:rPr>
  </w:style>
  <w:style w:type="paragraph" w:styleId="723">
    <w:name w:val="Intense Quote"/>
    <w:basedOn w:val="693"/>
    <w:next w:val="693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paragraph" w:styleId="725">
    <w:name w:val="Header"/>
    <w:basedOn w:val="693"/>
    <w:link w:val="882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6" w:customStyle="1">
    <w:name w:val="Header Char"/>
    <w:uiPriority w:val="99"/>
  </w:style>
  <w:style w:type="paragraph" w:styleId="727">
    <w:name w:val="Footer"/>
    <w:basedOn w:val="693"/>
    <w:link w:val="88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28" w:customStyle="1">
    <w:name w:val="Footer Char"/>
    <w:uiPriority w:val="99"/>
  </w:style>
  <w:style w:type="paragraph" w:styleId="729">
    <w:name w:val="Caption"/>
    <w:basedOn w:val="693"/>
    <w:next w:val="69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0" w:customStyle="1">
    <w:name w:val="Caption Char"/>
    <w:uiPriority w:val="99"/>
  </w:style>
  <w:style w:type="table" w:styleId="731">
    <w:name w:val="Table Grid"/>
    <w:basedOn w:val="704"/>
    <w:uiPriority w:val="59"/>
    <w:tblPr/>
  </w:style>
  <w:style w:type="table" w:styleId="73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/>
      <w:u w:val="single"/>
    </w:rPr>
  </w:style>
  <w:style w:type="paragraph" w:styleId="858">
    <w:name w:val="footnote text"/>
    <w:basedOn w:val="693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 w:customStyle="1">
    <w:name w:val="Текст сноски Знак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693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 w:customStyle="1">
    <w:name w:val="Текст концевой сноски Знак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693"/>
    <w:next w:val="693"/>
    <w:uiPriority w:val="39"/>
    <w:unhideWhenUsed/>
    <w:pPr>
      <w:spacing w:after="57"/>
    </w:pPr>
  </w:style>
  <w:style w:type="paragraph" w:styleId="865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866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867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868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869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870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871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872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693"/>
    <w:next w:val="693"/>
    <w:uiPriority w:val="99"/>
    <w:unhideWhenUsed/>
    <w:pPr>
      <w:spacing w:after="0"/>
    </w:pPr>
  </w:style>
  <w:style w:type="paragraph" w:styleId="875" w:customStyle="1">
    <w:name w:val="ConsPlusNormal"/>
    <w:pPr>
      <w:widowControl w:val="off"/>
    </w:pPr>
    <w:rPr>
      <w:rFonts w:eastAsia="Times New Roman" w:cs="Calibri"/>
      <w:sz w:val="22"/>
      <w:lang w:eastAsia="ru-RU"/>
    </w:rPr>
  </w:style>
  <w:style w:type="paragraph" w:styleId="876" w:customStyle="1">
    <w:name w:val="ConsPlusTitle"/>
    <w:pPr>
      <w:widowControl w:val="off"/>
    </w:pPr>
    <w:rPr>
      <w:rFonts w:eastAsia="Times New Roman" w:cs="Calibri"/>
      <w:b/>
      <w:sz w:val="22"/>
      <w:lang w:eastAsia="ru-RU"/>
    </w:rPr>
  </w:style>
  <w:style w:type="paragraph" w:styleId="877" w:customStyle="1">
    <w:name w:val="ConsPlusTitlePage"/>
    <w:pPr>
      <w:widowControl w:val="off"/>
    </w:pPr>
    <w:rPr>
      <w:rFonts w:ascii="Tahoma" w:hAnsi="Tahoma" w:eastAsia="Times New Roman" w:cs="Tahoma"/>
      <w:lang w:eastAsia="ru-RU"/>
    </w:rPr>
  </w:style>
  <w:style w:type="paragraph" w:styleId="878">
    <w:name w:val="Body Text"/>
    <w:basedOn w:val="693"/>
    <w:link w:val="879"/>
    <w:pPr>
      <w:spacing w:after="0" w:line="240" w:lineRule="auto"/>
    </w:pPr>
    <w:rPr>
      <w:rFonts w:ascii="Times New Roman" w:hAnsi="Times New Roman" w:eastAsia="Times New Roman"/>
      <w:sz w:val="24"/>
      <w:szCs w:val="20"/>
      <w:lang w:val="en-US"/>
    </w:rPr>
  </w:style>
  <w:style w:type="character" w:styleId="879" w:customStyle="1">
    <w:name w:val="Основной текст Знак"/>
    <w:link w:val="878"/>
    <w:rPr>
      <w:rFonts w:ascii="Times New Roman" w:hAnsi="Times New Roman" w:eastAsia="Times New Roman"/>
      <w:sz w:val="24"/>
    </w:rPr>
  </w:style>
  <w:style w:type="paragraph" w:styleId="880">
    <w:name w:val="Balloon Text"/>
    <w:basedOn w:val="693"/>
    <w:link w:val="88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881" w:customStyle="1">
    <w:name w:val="Текст выноски Знак"/>
    <w:link w:val="880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882" w:customStyle="1">
    <w:name w:val="Верхний колонтитул Знак"/>
    <w:link w:val="725"/>
    <w:uiPriority w:val="99"/>
    <w:rPr>
      <w:sz w:val="22"/>
      <w:szCs w:val="22"/>
      <w:lang w:eastAsia="en-US"/>
    </w:rPr>
  </w:style>
  <w:style w:type="character" w:styleId="883" w:customStyle="1">
    <w:name w:val="Нижний колонтитул Знак"/>
    <w:link w:val="727"/>
    <w:uiPriority w:val="99"/>
    <w:rPr>
      <w:sz w:val="22"/>
      <w:szCs w:val="22"/>
      <w:lang w:eastAsia="en-US"/>
    </w:rPr>
  </w:style>
  <w:style w:type="paragraph" w:styleId="884">
    <w:name w:val="Body Text 2"/>
    <w:basedOn w:val="693"/>
    <w:link w:val="885"/>
    <w:uiPriority w:val="99"/>
    <w:unhideWhenUsed/>
    <w:pPr>
      <w:spacing w:after="120" w:line="480" w:lineRule="auto"/>
    </w:pPr>
    <w:rPr>
      <w:rFonts w:eastAsia="Times New Roman"/>
      <w:lang w:val="en-US"/>
    </w:rPr>
  </w:style>
  <w:style w:type="character" w:styleId="885" w:customStyle="1">
    <w:name w:val="Основной текст 2 Знак"/>
    <w:link w:val="884"/>
    <w:uiPriority w:val="99"/>
    <w:rPr>
      <w:rFonts w:eastAsia="Times New Roman"/>
      <w:sz w:val="22"/>
      <w:szCs w:val="22"/>
    </w:rPr>
  </w:style>
  <w:style w:type="character" w:styleId="886" w:customStyle="1">
    <w:name w:val="Заголовок 1 Знак"/>
    <w:link w:val="694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character" w:styleId="887" w:customStyle="1">
    <w:name w:val="Заголовок 2 Знак"/>
    <w:link w:val="695"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character" w:styleId="888" w:customStyle="1">
    <w:name w:val="Подзаголовок Знак"/>
    <w:link w:val="719"/>
    <w:uiPriority w:val="11"/>
    <w:rPr>
      <w:rFonts w:ascii="Calibri Light" w:hAnsi="Calibri Light" w:eastAsia="Times New Roman" w:cs="Times New Roman"/>
      <w:sz w:val="24"/>
      <w:szCs w:val="24"/>
      <w:lang w:eastAsia="en-US"/>
    </w:rPr>
  </w:style>
  <w:style w:type="character" w:styleId="889" w:customStyle="1">
    <w:name w:val="Цитата 2 Знак"/>
    <w:link w:val="721"/>
    <w:uiPriority w:val="73"/>
    <w:rPr>
      <w:i/>
      <w:iCs/>
      <w:color w:val="404040"/>
      <w:sz w:val="22"/>
      <w:szCs w:val="22"/>
      <w:lang w:eastAsia="en-US"/>
    </w:rPr>
  </w:style>
  <w:style w:type="character" w:styleId="890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admnv.cloud.consultant.ru/cons?rnd=2816E11FC261E82B9D1E652D72C0B822&amp;req=doc&amp;base=LAW&amp;n=321526&amp;date=12.02.2020" TargetMode="External"/><Relationship Id="rId11" Type="http://schemas.openxmlformats.org/officeDocument/2006/relationships/hyperlink" Target="http://admnv.cloud.consultant.ru/cons?rnd=2816E11FC261E82B9D1E652D72C0B822&amp;req=doc&amp;base=RLAW926&amp;n=190685&amp;dst=100143&amp;fld=134&amp;date=13.02.2020" TargetMode="External"/><Relationship Id="rId12" Type="http://schemas.openxmlformats.org/officeDocument/2006/relationships/hyperlink" Target="http://admnv.cloud.consultant.ru/cons?rnd=2816E11FC261E82B9D1E652D72C0B822&amp;req=doc&amp;base=RLAW926&amp;n=190685&amp;dst=100178&amp;fld=134&amp;date=13.02.2020" TargetMode="External"/><Relationship Id="rId13" Type="http://schemas.openxmlformats.org/officeDocument/2006/relationships/hyperlink" Target="http://admnv.cloud.consultant.ru/cons?rnd=2816E11FC261E82B9D1E652D72C0B822&amp;req=doc&amp;base=RLAW926&amp;n=190685&amp;dst=100200&amp;fld=134&amp;date=13.02.2020" TargetMode="External"/><Relationship Id="rId14" Type="http://schemas.openxmlformats.org/officeDocument/2006/relationships/hyperlink" Target="http://admnv.cloud.consultant.ru/cons?rnd=2816E11FC261E82B9D1E652D72C0B822&amp;req=doc&amp;base=RLAW926&amp;n=190685&amp;dst=100200&amp;fld=134&amp;date=13.02.2020" TargetMode="External"/><Relationship Id="rId15" Type="http://schemas.openxmlformats.org/officeDocument/2006/relationships/hyperlink" Target="http://admnv.cloud.consultant.ru/cons?rnd=2816E11FC261E82B9D1E652D72C0B822&amp;req=doc&amp;base=RLAW926&amp;n=190685&amp;dst=100200&amp;fld=134&amp;date=13.02.2020" TargetMode="External"/><Relationship Id="rId16" Type="http://schemas.openxmlformats.org/officeDocument/2006/relationships/hyperlink" Target="http://admnv.cloud.consultant.ru/cons?rnd=2816E11FC261E82B9D1E652D72C0B822&amp;req=doc&amp;base=RLAW926&amp;n=190685&amp;dst=100233&amp;fld=134&amp;date=13.02.202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RubcovaVP</dc:creator>
  <cp:revision>12</cp:revision>
  <dcterms:created xsi:type="dcterms:W3CDTF">2024-03-11T11:52:00Z</dcterms:created>
  <dcterms:modified xsi:type="dcterms:W3CDTF">2024-03-12T06:52:24Z</dcterms:modified>
  <cp:version>786432</cp:version>
</cp:coreProperties>
</file>