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8"/>
        <w:jc w:val="center"/>
        <w:rPr/>
      </w:pPr>
      <w:r>
        <w:rPr>
          <w:rFonts w:cs="Times New Roman" w:ascii="Tinos" w:hAnsi="Tinos"/>
          <w:b/>
          <w:bCs/>
          <w:sz w:val="28"/>
          <w:szCs w:val="28"/>
        </w:rPr>
        <w:t>Информационная справка по вопросу 3 «</w:t>
      </w:r>
      <w:r>
        <w:rPr>
          <w:rFonts w:eastAsia="Calibri" w:cs="Tinos;Times New Roman" w:ascii="Tinos;Times New Roman" w:hAnsi="Tinos;Times New Roman"/>
          <w:b/>
          <w:bCs/>
          <w:color w:val="auto"/>
          <w:sz w:val="28"/>
          <w:szCs w:val="28"/>
          <w:lang w:val="ru-RU" w:eastAsia="en-US" w:bidi="ar-SA"/>
        </w:rPr>
        <w:t>О</w:t>
      </w:r>
      <w:r>
        <w:rPr>
          <w:rFonts w:eastAsia="Calibri" w:cs="Tinos;Times New Roman" w:ascii="Tinos;Times New Roman" w:hAnsi="Tinos;Times New Roman"/>
          <w:b/>
          <w:bCs/>
          <w:sz w:val="28"/>
          <w:szCs w:val="28"/>
          <w:lang w:eastAsia="en-US"/>
        </w:rPr>
        <w:t xml:space="preserve"> реализации лучших</w:t>
      </w:r>
    </w:p>
    <w:p>
      <w:pPr>
        <w:pStyle w:val="Normal"/>
        <w:spacing w:before="0" w:after="0"/>
        <w:ind w:firstLine="708"/>
        <w:jc w:val="center"/>
        <w:rPr/>
      </w:pPr>
      <w:r>
        <w:rPr>
          <w:rFonts w:eastAsia="Calibri" w:cs="Tinos;Times New Roman" w:ascii="Tinos;Times New Roman" w:hAnsi="Tinos;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cs="Tinos;Times New Roman" w:ascii="Tinos;Times New Roman" w:hAnsi="Tinos;Times New Roman"/>
          <w:b/>
          <w:bCs/>
          <w:sz w:val="28"/>
          <w:szCs w:val="28"/>
          <w:lang w:eastAsia="en-US"/>
        </w:rPr>
        <w:t xml:space="preserve">практик (инициатив, идей) в 2021 году, план на 2022 год» </w:t>
      </w:r>
    </w:p>
    <w:p>
      <w:pPr>
        <w:pStyle w:val="Norma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-113" w:hanging="0"/>
        <w:jc w:val="both"/>
        <w:rPr/>
      </w:pPr>
      <w:r>
        <w:rPr>
          <w:rFonts w:eastAsia="Calibri" w:cs="Tinos;Times New Roman" w:ascii="Tinos;Times New Roman" w:hAnsi="Tinos;Times New Roman"/>
          <w:b/>
          <w:bCs/>
          <w:sz w:val="28"/>
          <w:szCs w:val="28"/>
          <w:lang w:eastAsia="en-US"/>
        </w:rPr>
        <w:t>Заместитель главы города, директор департамента по социальной политике администрации города (Воликовская И.О.)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-113" w:hanging="0"/>
        <w:jc w:val="both"/>
        <w:rPr>
          <w:rFonts w:ascii="Tinos;Times New Roman" w:hAnsi="Tinos;Times New Roman" w:eastAsia="Calibri" w:cs="Tinos;Times New Roman"/>
          <w:b/>
          <w:b/>
          <w:bCs/>
          <w:sz w:val="28"/>
          <w:szCs w:val="28"/>
          <w:lang w:eastAsia="en-US"/>
        </w:rPr>
      </w:pPr>
      <w:r>
        <w:rPr>
          <w:rFonts w:eastAsia="Calibri" w:cs="Tinos;Times New Roman" w:ascii="Tinos;Times New Roman" w:hAnsi="Tinos;Times New Roman"/>
          <w:b/>
          <w:bCs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 целях обеспечения благоприятного инвестиционного климата</w:t>
        <w:br/>
        <w:t>и развития конкуренции в социальной сфере города Нижневартовска                                 (образование, культура, туризм, физическая культура и спорт) в 2021 году                      посредством взаимодействия и участия подведомственных муниципальных учреждений и некоммерческих организаций в конкурсных процедурах                              различных уровней, в город привлечены дополнительные финансовые средства в размере 41 092,795 тыс. руб., из которых: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- 10 394,64 тыс. руб. Фонд Президентских грантов;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- 20 608,155 тыс. руб. Фонд Гранта Губернатора ХМАО-Югры;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- 5 090,0 тыс. руб. Фонд ПАО «Сибур» (формула хороших дел);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- 5 000,0 тыс. руб. федеральный проект на создание модельных библиотек.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Привлеченные средства позволили реализовать такие общественно-                      значимые проекты, как: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создание культурного пространства «Литературный сквер»                              на территории центральной городской библиотеки имени М.К. Анисимковой;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оформление 2-х тысяч экспонатов времен Великой Отечественной войны 1941-1945 годов в рамках проекта «Память вне времени» в мультимедийную версию;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создание второй модельной библиотеки;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создание литературного медиа календаря в рамках проекта                                  «Вдохновленные Югрой»;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создание креативной студии «Жар птица» инклюзивной общественной организации «САМи</w:t>
      </w:r>
      <w:bookmarkStart w:id="0" w:name="_GoBack1"/>
      <w:bookmarkEnd w:id="0"/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Т»;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проект «Детский короткометражный сериал «Школьные истории.                        Каникулы в Москве» для детей с ограниченными возможностями здоровья;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работа центра медицинской реабилитации детей «ЮТТА».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Совместно с наставниками агентства стратегических инициатив в системе образования города с 2021 года реализуются 3 лучшие практики, размещенные на платформе «СМАРТЕКА»: </w:t>
      </w:r>
    </w:p>
    <w:p>
      <w:pPr>
        <w:pStyle w:val="Normal"/>
        <w:spacing w:before="0" w:after="103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Метапредметные технологии для развития ключевых компетентностей;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Информационная система «Мониторинг Индивидуального Развития                    ребёнка» (ИС «МИР ребёнка»);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i-Umka - интерактивная платформа для детей, их родителей и педагогов.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Данные проекты направлены на решение социально-экономических задач, реализацию национальных проектов, и способствуют повышению качества оказываемых образовательных услуг.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 2022 году в результате участия муниципальных учреждений                                и некоммерческих организаций в грантовых конкурсах различного уровня                     привлечены дополнительные финансовые средства в сумме 9 752,631 тыс. руб., из которых: - 23 проекта некоммерческих организаций города (9,0 млн. руб.),                   2 проекта учреждений дополнительного образования в сфере искусств                           (752,631 тыс. руб.).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Работа по поиску социальных партнеров, привлечению инвестиций, направленных на реализацию социально-значимых проектов и повышение                     качества оказываемых услуг, участию учреждений социальной сферы                            муниципального образования во Всероссийских и региональных конкурсах                    в целях трансляции «Лучших практик», в том числе на платформе                               «СМАРТЕКА», продолжается: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выстраиваются взаимовыгодные отношения с предпринимательским                   сообществом в сфере услуг дошкольного и дополнительного образования.                            В городе функционируют 4 частных детских сада с лицензией                                            на образовательную деятельность на 358 мест, у 7-ми индивидуальных                         предпринимателей и НКО активированы 965 сертификатов                                          персонифицированного финансирования дополнительного образования;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- на платформу «СМАРТЕКА» направлены 7 проектов (3 - от системы                   образования, 2 - от дополнительного образования сферы искусств, 2 - от сферы физической культуры и спорта), которые получили положительную экспертную оценку и стали участниками конкурсного отбора;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eastAsia="Calibri" w:cs="Tinos;Times New Roman" w:ascii="Tinos;Times New Roman" w:hAnsi="Tinos;Times New Roman"/>
          <w:b w:val="false"/>
          <w:bCs w:val="false"/>
          <w:sz w:val="28"/>
          <w:szCs w:val="28"/>
          <w:lang w:eastAsia="en-US"/>
        </w:rPr>
        <w:t>- ведется работа по регистрации успешной практики «Поддержка НКО,                  реализующих проекты в сфере туризма на территории муниципального                         образования».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-113" w:hanging="0"/>
        <w:jc w:val="both"/>
        <w:rPr>
          <w:rFonts w:ascii="Tinos;Times New Roman" w:hAnsi="Tinos;Times New Roman" w:eastAsia="Calibri" w:cs="Tinos;Times New Roman"/>
          <w:b/>
          <w:b/>
          <w:bCs/>
          <w:sz w:val="28"/>
          <w:szCs w:val="28"/>
          <w:lang w:eastAsia="en-US"/>
        </w:rPr>
      </w:pPr>
      <w:r>
        <w:rPr>
          <w:rFonts w:eastAsia="Calibri" w:cs="Tinos;Times New Roman" w:ascii="Tinos;Times New Roman" w:hAnsi="Tinos;Times New Roman"/>
          <w:b/>
          <w:bCs/>
          <w:sz w:val="28"/>
          <w:szCs w:val="28"/>
          <w:lang w:eastAsia="en-US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-11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nos;Times New Roman" w:ascii="Tinos;Times New Roman" w:hAnsi="Tinos;Times New Roman"/>
          <w:b/>
          <w:bCs/>
          <w:sz w:val="28"/>
          <w:szCs w:val="28"/>
          <w:lang w:eastAsia="en-US"/>
        </w:rPr>
        <w:t>Заместитель главы города по экономике и финансам (Мурашко И.Н.)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-11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повышения эффективности участия органов местного самоуправления в </w:t>
      </w:r>
      <w:bookmarkStart w:id="1" w:name="_GoBack2"/>
      <w:r>
        <w:rPr>
          <w:rFonts w:cs="Times New Roman" w:ascii="Times New Roman" w:hAnsi="Times New Roman"/>
          <w:sz w:val="28"/>
          <w:szCs w:val="28"/>
        </w:rPr>
        <w:t xml:space="preserve">разработке и реализации лучших практик (инициатив, идей) в сфере развития инвестиционной и предпринимательской деятельности департаментом экономического </w:t>
      </w:r>
      <w:bookmarkEnd w:id="1"/>
      <w:r>
        <w:rPr>
          <w:rFonts w:cs="Times New Roman" w:ascii="Times New Roman" w:hAnsi="Times New Roman"/>
          <w:sz w:val="28"/>
          <w:szCs w:val="28"/>
        </w:rPr>
        <w:t>развития администрации города на постоянной основе проводится работа по участию в различных конкурсах в рамках компетенции.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Так, муниципальные служащие департамента ежегодно принимают участие в региональном конкурсе "Лучшие проекты (практики) по функционированию системы антимонопольного комплаенса", организованном Депэкономики Югры. 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 администрации города антимонопольный комплаенс внедрен и функционирует с 2019 года, как приоритетное направление в системе развития конкуренции, а также предупреждения, недопущения и ограничения конкуренции в деятельности администрации города.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</w:rPr>
        <w:t>По итогам конкурса за 2021 год город Нижневартовск занял 3 место среди 9 муниципальных образований, принявших участие в конкурсе, с проектом "Стандартизация антимонопольной культуры поведения муниципальных служащих", основной идеей которого являлось формирование общих принципов и основных правил антимонопольной культуры служебного поведения, которыми должны руководствоваться муниципальные служащие.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прошлом году Депэкономики Югры впервые проведена акция                               "Изучая право – развиваем конкуренцию!".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Акция проводится в целях привлечения наибольшего количества заинтересованных лиц к вопросу выявления возможных рисков нарушения антимонопольного законодательства в действующих нормативных правовых актах автономного округа.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 Нижневартовск – единственный муниципалитет округа, который проявил инициативу и принял участие в акции.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мнению членов экспертного совета по определению победителей и лауреатов акции представленная работа муниципального служащего департамента выполнена на высоком уровне, затрагивает важные аспекты, касающиеся выявления возможных рисков нарушения антимонопольного законодательства, определения возможных последствий наличия выявленных рисков и выработки предложений по устранению таких нарушений.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участия в акции присвоен статус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лауреата.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2021 году департамент принимал участие в ежегодном региональном конкур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се "Лучшие практики по содействию развитию конкуренции".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участия в конкурсе муниципальными образованиями округа была представлена 41 практика, из них 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– от города Нижневартовска.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Практика администрации города "Грантовая поддержка начинающих и молодых предпринимателей города Нижневартовска".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Начиная с 2016 года администрацией города ежегодно предоставляются гранты в форме субсидий субъектам молодежного и начинающего предпринимательства в целях финансового обеспечения затрат: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приобретение нового оборудования, сырья для дальнейшей переработки, учебных пособий, снарядов, спортивного инвентаря, на изготовление и приобретение мебели;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рекламу товаров, работ, услуг;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создание (разработку) и сопровождение (поддержку) сайта;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аренду (субаренду) нежилых помещений.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2021 года размер гранта увеличен до 500 тыс. рублей на одного получателя (ранее размер гранта составлял 300 тыс. рублей). Данный вид поддержки получили 4 молодых и начинающих предпринимателя.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Получатели грантов используют полученные денежные средства на реализацию проектов (создание нового бизнеса, расширение действующего), трудоустраивая сотрудников и уплачивая налоги в бюджеты различных уровней.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оценкам конкурсной комиссии и итогов онлайн голосования заняла                   7 место.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Также в конкурсах принимают участие предприниматели города.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Так, Нижневартовский рыбоконсервный комбинат "Санта-Мария" представил практику "Увеличение производства рыбной продукции".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Направление реализации практики: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повышение удовлетворенности потребителей за счет расширения ассортимента продукции, повышения качества и снижения цен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Описание реализации практики: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увеличение объема производства и ассортимента выпускаемой продукции, экспортного потенциала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Используемые ресурсы: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меры поддержки за счет средств бюджета ХМАО-Югры (45,8 млн.руб.) и бюджета города Нижневартовска (0,5 млн. руб.).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Результат практики: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увеличение производственных мощностей за счет приобретения нового технологического оборудования (с 10 тыс. банок до 12 тыс. банок рыбных консервов в смену);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увеличение выпуска продукции на 8% к аналогичному периоду прошлого года;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увеличение объема экспортных поставок на 31% к аналогичному периоду прошлого года (2020 год – 186,7 тыс. долл. США, 2021 год – 271,8 тыс.долл. США).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Данная практика заняла 10 место.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Также в 2021 году учредитель спортивной школы ООО "Юниор" Павел Бараулин стал победителем всероссийского конкурса "Молодой предприниматель России". 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Спортивная школа "Юниор" осуществляет свою деятельность с 2016 года и является крупнейшей школой развития детей и подростков в городе Нижневартовске для детей от 3 до 16 лет.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Открыто 12 филиалов, задействовано более 40 тренеров, ежегодно численность занимающихся составляет порядка 900 человек.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Спортивная школа "Юниор" совместно с центром развития детей "КадиКу" проводят занятия для детей с ограниченными возможностями.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Обществу присвоен статус "социальное предприятие", в 2020 году школа была удостоена статуса "Лучший товар Югры".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конкурсах способствует развитию предпринимательской деятельности и деятельности администрации города в сфере развития конкуренции.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текущем году при объявлении конкурсов по реализации лучших практик (инициатив, идей) также будет рассмотрена возможность участия в рамках компетенции.</w:t>
      </w:r>
    </w:p>
    <w:p>
      <w:pPr>
        <w:pStyle w:val="Style18"/>
        <w:widowControl/>
        <w:suppressAutoHyphens w:val="true"/>
        <w:bidi w:val="0"/>
        <w:spacing w:lineRule="auto" w:line="240" w:before="0" w:after="0"/>
        <w:ind w:left="0" w:right="-170" w:firstLine="680"/>
        <w:jc w:val="both"/>
        <w:rPr>
          <w:rFonts w:ascii="Tinos" w:hAnsi="Tinos"/>
          <w:color w:val="000000"/>
          <w:sz w:val="28"/>
          <w:highlight w:val="white"/>
        </w:rPr>
      </w:pPr>
      <w:r>
        <w:rPr>
          <w:rFonts w:ascii="Tinos" w:hAnsi="Tinos"/>
          <w:color w:val="000000"/>
          <w:sz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-113" w:hanging="0"/>
        <w:jc w:val="both"/>
        <w:rPr>
          <w:rFonts w:ascii="Tinos;Times New Roman" w:hAnsi="Tinos;Times New Roman" w:eastAsia="Calibri" w:cs="Tinos;Times New Roman"/>
          <w:b/>
          <w:b/>
          <w:bCs/>
          <w:sz w:val="28"/>
          <w:szCs w:val="28"/>
          <w:lang w:eastAsia="en-US"/>
        </w:rPr>
      </w:pPr>
      <w:r>
        <w:rPr>
          <w:rFonts w:eastAsia="Calibri" w:cs="Tinos;Times New Roman" w:ascii="Tinos;Times New Roman" w:hAnsi="Tinos;Times New Roman"/>
          <w:b/>
          <w:bCs/>
          <w:sz w:val="28"/>
          <w:szCs w:val="28"/>
          <w:lang w:eastAsia="en-US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-113" w:hanging="0"/>
        <w:jc w:val="both"/>
        <w:rPr/>
      </w:pPr>
      <w:r>
        <w:rPr>
          <w:rFonts w:eastAsia="Calibri" w:cs="Tinos;Times New Roman" w:ascii="Tinos;Times New Roman" w:hAnsi="Tinos;Times New Roman"/>
          <w:b/>
          <w:bCs/>
          <w:sz w:val="28"/>
          <w:szCs w:val="28"/>
          <w:lang w:eastAsia="en-US"/>
        </w:rPr>
        <w:t>Заместитель главы города, директор департамента жилищно-коммунального хозяйства администрации города (Сериков С.Е.)</w:t>
      </w:r>
    </w:p>
    <w:p>
      <w:pPr>
        <w:pStyle w:val="Norma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0"/>
        <w:ind w:left="0" w:right="-113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2021 году сотрудники департамента ЖКХ принимали участие в номинации «Градостроительная политика, обеспечение благоприятной среды жизнедеятельности населения и развитие жилищно-коммунального хозяйства» Всероссийского конкурса «Лучшая муниципальная практика» с конкурсной заявкой под названием «Внедрение комплексной автоматизированной системы управления пассажирскими перевозками (КАСУПП) в 2016-2020 годах».</w:t>
      </w:r>
    </w:p>
    <w:p>
      <w:pPr>
        <w:pStyle w:val="Normal"/>
        <w:widowControl/>
        <w:bidi w:val="0"/>
        <w:spacing w:lineRule="auto" w:line="259" w:before="0" w:after="0"/>
        <w:ind w:left="0" w:right="-113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Одним из ключевых факторов развития города является совершенствование транспортной системы города. </w:t>
      </w:r>
    </w:p>
    <w:p>
      <w:pPr>
        <w:pStyle w:val="Normal"/>
        <w:widowControl/>
        <w:bidi w:val="0"/>
        <w:spacing w:lineRule="auto" w:line="259" w:before="0" w:after="0"/>
        <w:ind w:left="0" w:right="-113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этой связи в 2016 году было принято решение о внедрении в городе Нижневартовске комплексной автоматизированной системы управления пассажирскими перевозками (КАСУПП).</w:t>
      </w:r>
    </w:p>
    <w:p>
      <w:pPr>
        <w:pStyle w:val="Normal"/>
        <w:widowControl/>
        <w:bidi w:val="0"/>
        <w:spacing w:lineRule="auto" w:line="259" w:before="0" w:after="0"/>
        <w:ind w:left="0" w:right="-113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КАСУПП состоит из нескольких логических подсистем, каждая из которых реализуется как бортовыми программно-техническими средствами, так и стационарными (такими как процессинговый и диспетчерский сервера, автоматизированные рабочие места транспортных предприятий).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Включает в себя следующие функциональные системы: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0"/>
        <w:ind w:left="0" w:right="0" w:firstLine="6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Автоматизированная система безналичной оплаты проезда;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0"/>
        <w:ind w:left="0" w:right="0" w:firstLine="68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Автоматизированная система контроля оплаты проезда;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0"/>
        <w:ind w:left="0" w:right="0" w:firstLine="68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Автоматическая система мониторинга пассажиропотока;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0"/>
        <w:ind w:left="0" w:right="-170" w:firstLine="68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Автоматическая система голосового и визуального информирования пассажиров;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0"/>
        <w:ind w:left="0" w:right="-113" w:firstLine="68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Навигационная автоматизированная система диспетчерского управления.</w:t>
      </w:r>
    </w:p>
    <w:p>
      <w:pPr>
        <w:pStyle w:val="Normal"/>
        <w:spacing w:before="0" w:after="0"/>
        <w:ind w:firstLine="709"/>
        <w:jc w:val="both"/>
        <w:rPr>
          <w:b w:val="false"/>
          <w:b w:val="false"/>
          <w:bCs w:val="false"/>
        </w:rPr>
      </w:pPr>
      <w:bookmarkStart w:id="2" w:name="_GoBack"/>
      <w:bookmarkEnd w:id="2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результате реализации проекта жители города получили: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59" w:before="0" w:after="0"/>
        <w:ind w:left="1417" w:right="-113" w:hanging="737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транспортную услугу по своему качеству соответствующую современным мировым стандартам;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59" w:before="0" w:after="0"/>
        <w:ind w:left="1417" w:right="0" w:hanging="737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безопасность и удобство пользования общественным транспортом;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59" w:before="0" w:after="0"/>
        <w:ind w:left="1417" w:right="0" w:hanging="737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защиту интересов льготных категорий пользователей. </w:t>
      </w:r>
    </w:p>
    <w:p>
      <w:pPr>
        <w:pStyle w:val="Normal"/>
        <w:widowControl/>
        <w:bidi w:val="0"/>
        <w:spacing w:lineRule="auto" w:line="259" w:before="0" w:after="0"/>
        <w:ind w:left="0" w:right="-113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Перевозчики смогли обеспечить качество и безопасность транспортного обслуживания населения и получили возможн</w:t>
      </w:r>
      <w:r>
        <w:rPr>
          <w:rFonts w:cs="Times New Roman" w:ascii="Times New Roman" w:hAnsi="Times New Roman"/>
          <w:sz w:val="28"/>
          <w:szCs w:val="28"/>
        </w:rPr>
        <w:t>ость повысить рентабельность перевозок за счет: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59" w:before="0" w:after="0"/>
        <w:ind w:left="1417" w:right="-113" w:hanging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передачи функции, традиционно выполняемые человеком, беспристрастным автоматизированным системам;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59" w:before="0" w:after="0"/>
        <w:ind w:left="1417" w:right="0" w:hanging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обеспечения полного контроля над работой персонала и подвижного состава;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59" w:before="0" w:after="0"/>
        <w:ind w:left="1417" w:right="0" w:hanging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увеличения собираемости оплаты проезда, понижения себестоимости пассажирских перевозок, возможности компенсировать из бюджета денежные средства за реально-перевезенных льготных пассажиров, а также привлечения большего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числа пассажиров через участие в различных социальных программах.</w:t>
      </w:r>
    </w:p>
    <w:p>
      <w:pPr>
        <w:pStyle w:val="Normal"/>
        <w:widowControl/>
        <w:bidi w:val="0"/>
        <w:spacing w:lineRule="auto" w:line="259" w:before="0" w:after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Муниципалитет получил: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59" w:before="0" w:after="0"/>
        <w:ind w:left="1417" w:right="0" w:hanging="68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возможность учета и контрол</w:t>
      </w:r>
      <w:r>
        <w:rPr>
          <w:rFonts w:cs="Times New Roman" w:ascii="Times New Roman" w:hAnsi="Times New Roman"/>
          <w:sz w:val="28"/>
          <w:szCs w:val="28"/>
        </w:rPr>
        <w:t>я расходов бюджетных средств на поддержку социальных перевозок за реально оказанные услуги;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59" w:before="0" w:after="0"/>
        <w:ind w:left="1417" w:right="0" w:hanging="68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рост налоговых поступлений в бюджет города за счет повышения прозрачности деятельности транспортных предприятий, перспективного планирования развития транспортной отрасли.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Практика заняла 4 место, а также рекомендована к направлению для участия в финальном этапе на федеральном (всероссийском) уровне.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2022 году принимать участие в данном конкурсе не планируется.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Заместитель главы города, директор департамента строительства администрации города (Ситников В.П.)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70" w:firstLine="68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Муниципальные практики в 2021 году:</w:t>
      </w:r>
    </w:p>
    <w:p>
      <w:pPr>
        <w:pStyle w:val="Style18"/>
        <w:widowControl/>
        <w:suppressAutoHyphens w:val="true"/>
        <w:bidi w:val="0"/>
        <w:spacing w:lineRule="auto" w:line="240" w:before="0" w:after="0"/>
        <w:ind w:left="0" w:right="-227" w:firstLine="680"/>
        <w:jc w:val="both"/>
        <w:rPr>
          <w:rFonts w:ascii="Tinos" w:hAnsi="Tinos"/>
          <w:color w:val="000000"/>
          <w:sz w:val="28"/>
          <w:highlight w:val="white"/>
        </w:rPr>
      </w:pPr>
      <w:r>
        <w:rPr>
          <w:rFonts w:eastAsia="Calibri" w:cs="Times New Roman" w:ascii="Tinos" w:hAnsi="Tinos"/>
          <w:b w:val="false"/>
          <w:bCs w:val="false"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1. 2 место в региональном конкурсе «Лучшие практики по содействию развитию конкуренции», проводимого Департаментом экономического развития ХМАО-Югры, с практикой «Цифровая информационная модель управления развитием территории города Нижневартовска».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-170" w:firstLine="680"/>
        <w:jc w:val="both"/>
        <w:rPr>
          <w:rFonts w:ascii="Tinos" w:hAnsi="Tinos"/>
          <w:bCs/>
          <w:sz w:val="28"/>
          <w:szCs w:val="28"/>
        </w:rPr>
      </w:pPr>
      <w:r>
        <w:rPr>
          <w:rFonts w:eastAsia="Times New Roman" w:cs="Times New Roman" w:ascii="Tinos" w:hAnsi="Tinos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2. На платформе «СМАРТЕКА» Агентства стратегических инициатив размещена практика «Строительство и реконструкция в отношении объектов теплоснабжения, централизованных систем горячего водоснабжения, холодного водоснабжения и (или) водоотведения, отдельные объекты таких систем».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-170" w:firstLine="680"/>
        <w:jc w:val="both"/>
        <w:rPr>
          <w:rFonts w:ascii="Tinos" w:hAnsi="Tinos"/>
          <w:bCs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Справочно: СМАРТЕКА — сервис по поиску лучших практик в различных отраслях для решения социально-экономических задач. Это - удобный инструмент для тиражирования, возможность заявить о себе и своей практике на всероссийском и международном уровнях, рекомендации экспертов в масштабировании своего опыта.</w:t>
      </w:r>
    </w:p>
    <w:p>
      <w:pPr>
        <w:pStyle w:val="Style18"/>
        <w:widowControl/>
        <w:suppressAutoHyphens w:val="true"/>
        <w:bidi w:val="0"/>
        <w:spacing w:lineRule="auto" w:line="240" w:before="0" w:after="0"/>
        <w:ind w:left="0" w:right="-227" w:firstLine="680"/>
        <w:jc w:val="both"/>
        <w:rPr>
          <w:rFonts w:ascii="Tinos" w:hAnsi="Tinos"/>
          <w:color w:val="000000"/>
          <w:sz w:val="28"/>
          <w:highlight w:val="white"/>
        </w:rPr>
      </w:pPr>
      <w:r>
        <w:rPr>
          <w:rFonts w:ascii="Tinos" w:hAnsi="Tinos"/>
          <w:b w:val="false"/>
          <w:bCs w:val="false"/>
          <w:color w:val="000000"/>
          <w:sz w:val="28"/>
          <w:highlight w:val="white"/>
          <w:shd w:fill="FFFFFF" w:val="clear"/>
        </w:rPr>
        <w:t>Планы на 2022 год следующие.</w:t>
      </w:r>
    </w:p>
    <w:p>
      <w:pPr>
        <w:pStyle w:val="Style18"/>
        <w:widowControl/>
        <w:suppressAutoHyphens w:val="true"/>
        <w:bidi w:val="0"/>
        <w:spacing w:lineRule="auto" w:line="240" w:before="0" w:after="0"/>
        <w:ind w:left="0" w:right="-170" w:firstLine="680"/>
        <w:jc w:val="both"/>
        <w:rPr>
          <w:rFonts w:ascii="Tinos" w:hAnsi="Tinos"/>
          <w:color w:val="000000"/>
          <w:sz w:val="28"/>
          <w:highlight w:val="white"/>
        </w:rPr>
      </w:pP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>1. Участие во всероссийском конкурсе «Лучшая муниципальная практика» c муниципальной практикой «Цифровая информационная модель управления развитием территории города Нижневартовска» в номинациях: «Модернизация городского хозяйства посредством внедрения цифровых технологий и платформенных решений («умный город»), «Градостроительная политика, обеспечение благоприятной среды жизнедеятельности населения и развития жилищно-коммунального хозяйства».</w:t>
      </w:r>
    </w:p>
    <w:p>
      <w:pPr>
        <w:pStyle w:val="Style25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-170" w:firstLine="567"/>
        <w:jc w:val="both"/>
        <w:rPr>
          <w:rFonts w:ascii="Tinos" w:hAnsi="Tinos" w:eastAsia="Calibri" w:cs="Calibri"/>
          <w:b w:val="false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</w:pP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>Основная цель ЦИМ УРТ города Нижневартовска – обеспечение единства планирования и управления территорией, базирующихся на достоверных сведениях о состоянии и перспективах развития в любой момент времени, с использованием методов и технологий, обеспечивающих мониторинг, анализ и поддержку принятия решений.</w:t>
      </w:r>
    </w:p>
    <w:p>
      <w:pPr>
        <w:pStyle w:val="Style25"/>
        <w:tabs>
          <w:tab w:val="clear" w:pos="708"/>
          <w:tab w:val="left" w:pos="851" w:leader="none"/>
        </w:tabs>
        <w:bidi w:val="0"/>
        <w:ind w:left="0" w:right="0" w:firstLine="567"/>
        <w:rPr>
          <w:rFonts w:ascii="Tinos" w:hAnsi="Tinos" w:eastAsia="Calibri" w:cs="Calibri"/>
          <w:b w:val="false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</w:pP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>ЦИМ УРТ включает следующие системы:</w:t>
      </w:r>
    </w:p>
    <w:p>
      <w:pPr>
        <w:pStyle w:val="Style25"/>
        <w:tabs>
          <w:tab w:val="clear" w:pos="708"/>
          <w:tab w:val="left" w:pos="851" w:leader="none"/>
        </w:tabs>
        <w:bidi w:val="0"/>
        <w:ind w:left="0" w:right="0" w:firstLine="567"/>
        <w:rPr>
          <w:rFonts w:ascii="Tinos" w:hAnsi="Tinos" w:eastAsia="Calibri" w:cs="Calibri"/>
          <w:b w:val="false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</w:pP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 xml:space="preserve">  </w:t>
      </w: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 xml:space="preserve">- муниципальная геоинформационная система на платформе  </w:t>
      </w:r>
      <w:r>
        <w:rPr>
          <w:rFonts w:eastAsia="Calibri" w:cs="Calibri" w:ascii="Tinos" w:hAnsi="Tinos"/>
          <w:b w:val="false"/>
          <w:bCs w:val="false"/>
          <w:i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>Geometa.</w:t>
      </w:r>
    </w:p>
    <w:p>
      <w:pPr>
        <w:pStyle w:val="Style25"/>
        <w:widowControl/>
        <w:numPr>
          <w:ilvl w:val="0"/>
          <w:numId w:val="0"/>
        </w:numPr>
        <w:tabs>
          <w:tab w:val="clear" w:pos="708"/>
          <w:tab w:val="left" w:pos="851" w:leader="none"/>
        </w:tabs>
        <w:suppressAutoHyphens w:val="true"/>
        <w:bidi w:val="0"/>
        <w:spacing w:lineRule="exact" w:line="360" w:before="0" w:after="0"/>
        <w:ind w:left="196" w:right="-227" w:hanging="0"/>
        <w:jc w:val="both"/>
        <w:rPr/>
      </w:pP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 xml:space="preserve">    </w:t>
      </w: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 xml:space="preserve">- информационные панели «Рабочее место руководителя» на платформе </w:t>
      </w:r>
      <w:r>
        <w:rPr>
          <w:rFonts w:eastAsia="Calibri" w:cs="Calibri" w:ascii="Tinos" w:hAnsi="Tinos"/>
          <w:b w:val="false"/>
          <w:bCs w:val="false"/>
          <w:i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>Polymatica Dashboards</w:t>
      </w: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>.</w:t>
      </w:r>
    </w:p>
    <w:p>
      <w:pPr>
        <w:pStyle w:val="Style25"/>
        <w:numPr>
          <w:ilvl w:val="0"/>
          <w:numId w:val="0"/>
        </w:numPr>
        <w:tabs>
          <w:tab w:val="clear" w:pos="708"/>
          <w:tab w:val="left" w:pos="851" w:leader="none"/>
        </w:tabs>
        <w:bidi w:val="0"/>
        <w:ind w:left="0" w:right="0" w:hanging="0"/>
        <w:rPr/>
      </w:pP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 xml:space="preserve">          </w:t>
      </w: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 xml:space="preserve">-  интерактивная карта на платформе </w:t>
      </w:r>
      <w:r>
        <w:rPr>
          <w:rFonts w:eastAsia="Calibri" w:cs="Calibri" w:ascii="Tinos" w:hAnsi="Tinos"/>
          <w:b w:val="false"/>
          <w:bCs w:val="false"/>
          <w:i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>Geometa</w:t>
      </w: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>.</w:t>
      </w:r>
    </w:p>
    <w:p>
      <w:pPr>
        <w:pStyle w:val="Style25"/>
        <w:numPr>
          <w:ilvl w:val="0"/>
          <w:numId w:val="0"/>
        </w:numPr>
        <w:tabs>
          <w:tab w:val="clear" w:pos="708"/>
          <w:tab w:val="left" w:pos="851" w:leader="none"/>
        </w:tabs>
        <w:bidi w:val="0"/>
        <w:ind w:left="196" w:right="0" w:hanging="0"/>
        <w:rPr/>
      </w:pP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 xml:space="preserve">       </w:t>
      </w: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 xml:space="preserve">- портал ЦИМ УРТ на платформе </w:t>
      </w:r>
      <w:r>
        <w:rPr>
          <w:rFonts w:eastAsia="Calibri" w:cs="Calibri" w:ascii="Tinos" w:hAnsi="Tinos"/>
          <w:b w:val="false"/>
          <w:bCs w:val="false"/>
          <w:i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>Geometa</w:t>
      </w: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 xml:space="preserve">, доступный в сети Интернет. </w:t>
      </w:r>
    </w:p>
    <w:p>
      <w:pPr>
        <w:pStyle w:val="Style25"/>
        <w:widowControl/>
        <w:numPr>
          <w:ilvl w:val="0"/>
          <w:numId w:val="0"/>
        </w:numPr>
        <w:tabs>
          <w:tab w:val="clear" w:pos="708"/>
          <w:tab w:val="left" w:pos="675" w:leader="none"/>
        </w:tabs>
        <w:suppressAutoHyphens w:val="true"/>
        <w:bidi w:val="0"/>
        <w:spacing w:lineRule="auto" w:line="240" w:before="0" w:after="0"/>
        <w:ind w:left="0" w:right="-227" w:hanging="0"/>
        <w:jc w:val="both"/>
        <w:rPr>
          <w:rFonts w:ascii="Tinos" w:hAnsi="Tinos" w:eastAsia="Calibri" w:cs="Calibri"/>
          <w:b w:val="false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</w:pP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 xml:space="preserve">       </w:t>
      </w: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 xml:space="preserve">- 3D-портал Нижневартовска на платформе </w:t>
      </w:r>
      <w:r>
        <w:rPr>
          <w:rFonts w:eastAsia="Calibri" w:cs="Calibri" w:ascii="Tinos" w:hAnsi="Tinos"/>
          <w:b w:val="false"/>
          <w:bCs w:val="false"/>
          <w:i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>«Спутник Веб»</w:t>
      </w:r>
      <w:r>
        <w:rPr>
          <w:rFonts w:eastAsia="Calibri" w:cs="Calibri" w:ascii="Tinos" w:hAnsi="Tinos"/>
          <w:b w:val="false"/>
          <w:bCs w:val="false"/>
          <w:color w:val="000000"/>
          <w:kern w:val="0"/>
          <w:sz w:val="28"/>
          <w:szCs w:val="22"/>
          <w:highlight w:val="white"/>
          <w:shd w:fill="FFFFFF" w:val="clear"/>
          <w:lang w:val="ru-RU" w:eastAsia="ru-RU" w:bidi="ar-SA"/>
        </w:rPr>
        <w:t>, доступный в сети Интернет.</w:t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0" w:right="-170" w:firstLine="680"/>
        <w:jc w:val="both"/>
        <w:rPr/>
      </w:pPr>
      <w:r>
        <w:rPr>
          <w:rFonts w:ascii="Times New Roman" w:hAnsi="Times New Roman"/>
          <w:sz w:val="28"/>
          <w:szCs w:val="28"/>
        </w:rPr>
        <w:t>2. Размещение на</w:t>
      </w:r>
      <w:r>
        <w:rPr>
          <w:rFonts w:eastAsia="Times New Roman" w:cs="Times New Roman" w:ascii="Tinos" w:hAnsi="Tinos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 платформе «СМАРТЕКА» Агентства стратегических инициатив муниципальной практики об Интерактивной карте инвестиционных площадок.</w:t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0" w:right="-170" w:firstLine="680"/>
        <w:jc w:val="both"/>
        <w:rPr/>
      </w:pPr>
      <w:r>
        <w:rPr>
          <w:rFonts w:ascii="Times New Roman" w:hAnsi="Times New Roman"/>
          <w:sz w:val="28"/>
          <w:szCs w:val="28"/>
        </w:rPr>
        <w:t>Интерактивная карта позвол</w:t>
      </w:r>
      <w:r>
        <w:rPr>
          <w:rFonts w:eastAsia="Calibri" w:cs="Calibri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яет</w:t>
      </w:r>
      <w:r>
        <w:rPr>
          <w:rFonts w:ascii="Times New Roman" w:hAnsi="Times New Roman"/>
          <w:sz w:val="28"/>
          <w:szCs w:val="28"/>
        </w:rPr>
        <w:t xml:space="preserve"> инвесторам самостоятельно осуществлять поиск и подбор инвестиционных площадок по критериям планируемых проектов, проверять земельный участок на возможность размещения на нем объекта капитального строительства, а также формировать паспорт инвестиционной площадки в онлайн режиме.</w:t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0" w:right="-17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-113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62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Tinos">
    <w:charset w:val="01"/>
    <w:family w:val="roman"/>
    <w:pitch w:val="variable"/>
  </w:font>
  <w:font w:name="Tino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8294c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ef3bb6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ef3bb6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8294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6ad"/>
    <w:pPr>
      <w:spacing w:before="0" w:after="16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ef3b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ef3b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Абзац"/>
    <w:basedOn w:val="Normal"/>
    <w:qFormat/>
    <w:pPr>
      <w:spacing w:lineRule="exact" w:line="360" w:before="0" w:after="0"/>
      <w:ind w:firstLine="709"/>
      <w:jc w:val="both"/>
    </w:pPr>
    <w:rPr>
      <w:rFonts w:ascii="Tahoma" w:hAnsi="Tahoma" w:cs="Tahom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8b63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Application>LibreOffice/7.0.1.2$Linux_X86_64 LibreOffice_project/00$Build-2</Application>
  <Pages>7</Pages>
  <Words>1740</Words>
  <Characters>12881</Characters>
  <CharactersWithSpaces>15210</CharactersWithSpaces>
  <Paragraphs>107</Paragraphs>
  <Company>adm. n-vartovsk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2021-12-15T10:16:00Z</dcterms:created>
  <dc:creator>Манник Ольга Геннадьевна</dc:creator>
  <dc:description/>
  <dc:language>ru-RU</dc:language>
  <cp:lastModifiedBy/>
  <cp:lastPrinted>2022-06-24T17:34:38Z</cp:lastPrinted>
  <dcterms:modified xsi:type="dcterms:W3CDTF">2022-06-24T17:35:59Z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adm. n-vartovsk</vt:lpwstr>
  </property>
</Properties>
</file>