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42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End w:id="0"/>
      <w:r>
        <w:rPr>
          <w:rFonts w:eastAsia="Arial Unicode MS"/>
          <w:b/>
          <w:sz w:val="26"/>
          <w:szCs w:val="26"/>
        </w:rPr>
        <w:t xml:space="preserve">Информаци</w:t>
      </w:r>
      <w:r>
        <w:rPr>
          <w:rFonts w:eastAsia="Arial Unicode MS"/>
          <w:b/>
          <w:sz w:val="26"/>
          <w:szCs w:val="26"/>
        </w:rPr>
        <w:t xml:space="preserve">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/>
    </w:p>
    <w:p>
      <w:pPr>
        <w:ind w:right="-142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rStyle w:val="895"/>
          <w:rFonts w:eastAsiaTheme="majorEastAsia"/>
          <w:b/>
          <w:sz w:val="26"/>
          <w:szCs w:val="26"/>
        </w:rPr>
        <w:t xml:space="preserve">о</w:t>
      </w:r>
      <w:r>
        <w:rPr>
          <w:rStyle w:val="895"/>
          <w:rFonts w:eastAsiaTheme="majorEastAsia"/>
          <w:b/>
          <w:sz w:val="26"/>
          <w:szCs w:val="26"/>
        </w:rPr>
        <w:t xml:space="preserve"> тарифах и плате за коммунальные</w:t>
      </w:r>
      <w:r>
        <w:rPr>
          <w:sz w:val="26"/>
          <w:szCs w:val="26"/>
        </w:rPr>
      </w:r>
      <w:r/>
    </w:p>
    <w:p>
      <w:pPr>
        <w:ind w:firstLine="567"/>
        <w:jc w:val="center"/>
        <w:spacing w:line="276" w:lineRule="auto"/>
        <w:rPr>
          <w:sz w:val="26"/>
          <w:szCs w:val="26"/>
        </w:rPr>
      </w:pPr>
      <w:r>
        <w:rPr>
          <w:rStyle w:val="895"/>
          <w:rFonts w:eastAsiaTheme="majorEastAsia"/>
          <w:b/>
          <w:sz w:val="26"/>
          <w:szCs w:val="26"/>
        </w:rPr>
        <w:t xml:space="preserve">услуги</w:t>
      </w:r>
      <w:r>
        <w:rPr>
          <w:sz w:val="26"/>
          <w:szCs w:val="26"/>
        </w:rPr>
        <w:t xml:space="preserve"> </w:t>
      </w:r>
      <w:r>
        <w:rPr>
          <w:rStyle w:val="895"/>
          <w:rFonts w:eastAsiaTheme="majorEastAsia"/>
          <w:b/>
          <w:sz w:val="26"/>
          <w:szCs w:val="26"/>
        </w:rPr>
        <w:t xml:space="preserve">на 2024 год</w:t>
      </w:r>
      <w:r>
        <w:rPr>
          <w:rStyle w:val="895"/>
          <w:sz w:val="26"/>
          <w:szCs w:val="26"/>
        </w:rPr>
      </w:r>
      <w:r/>
    </w:p>
    <w:p>
      <w:pPr>
        <w:ind w:right="-142"/>
        <w:jc w:val="center"/>
        <w:spacing w:line="276" w:lineRule="auto"/>
        <w:rPr>
          <w:sz w:val="26"/>
          <w:szCs w:val="26"/>
        </w:rPr>
      </w:pPr>
      <w:r>
        <w:rPr>
          <w:rFonts w:eastAsia="Arial Unicode MS"/>
          <w:b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71"/>
        <w:ind w:firstLine="851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На территории Ханты-Мансийского автономного округа </w:t>
      </w:r>
      <w:r>
        <w:rPr>
          <w:color w:val="000000" w:themeColor="text1"/>
          <w:sz w:val="26"/>
          <w:szCs w:val="26"/>
          <w:highlight w:val="none"/>
        </w:rPr>
        <w:t xml:space="preserve">–</w:t>
      </w:r>
      <w:r>
        <w:rPr>
          <w:color w:val="000000" w:themeColor="text1"/>
          <w:sz w:val="26"/>
          <w:szCs w:val="26"/>
          <w:highlight w:val="none"/>
        </w:rPr>
        <w:t xml:space="preserve"> Югры завершена тарифная кампания по установлению тарифо</w:t>
      </w:r>
      <w:r>
        <w:rPr>
          <w:color w:val="000000" w:themeColor="text1"/>
          <w:sz w:val="26"/>
          <w:szCs w:val="26"/>
          <w:highlight w:val="none"/>
        </w:rPr>
        <w:t xml:space="preserve">в </w:t>
      </w:r>
      <w:r>
        <w:rPr>
          <w:color w:val="000000" w:themeColor="text1"/>
          <w:sz w:val="26"/>
          <w:szCs w:val="26"/>
          <w:highlight w:val="none"/>
        </w:rPr>
        <w:t xml:space="preserve">на коммунальные услуги </w:t>
      </w:r>
      <w:r>
        <w:rPr>
          <w:color w:val="000000" w:themeColor="text1"/>
          <w:sz w:val="26"/>
          <w:szCs w:val="26"/>
          <w:highlight w:val="none"/>
        </w:rPr>
        <w:t xml:space="preserve">на 2024 год</w:t>
      </w:r>
      <w:r>
        <w:rPr>
          <w:color w:val="000000" w:themeColor="text1"/>
          <w:sz w:val="26"/>
          <w:szCs w:val="26"/>
          <w:highlight w:val="none"/>
        </w:rPr>
        <w:t xml:space="preserve"> </w:t>
      </w:r>
      <w:r>
        <w:rPr>
          <w:color w:val="000000" w:themeColor="text1"/>
          <w:sz w:val="26"/>
          <w:szCs w:val="26"/>
          <w:highlight w:val="none"/>
        </w:rPr>
        <w:t xml:space="preserve">в сферах </w:t>
      </w:r>
      <w:r>
        <w:rPr>
          <w:color w:val="000000" w:themeColor="text1"/>
          <w:sz w:val="26"/>
          <w:szCs w:val="26"/>
          <w:highlight w:val="none"/>
        </w:rPr>
        <w:t xml:space="preserve">тепло</w:t>
      </w:r>
      <w:r>
        <w:rPr>
          <w:color w:val="000000" w:themeColor="text1"/>
          <w:sz w:val="26"/>
          <w:szCs w:val="26"/>
          <w:highlight w:val="none"/>
        </w:rPr>
        <w:t xml:space="preserve">снабжени</w:t>
      </w:r>
      <w:r>
        <w:rPr>
          <w:color w:val="000000" w:themeColor="text1"/>
          <w:sz w:val="26"/>
          <w:szCs w:val="26"/>
          <w:highlight w:val="none"/>
        </w:rPr>
        <w:t xml:space="preserve">я</w:t>
      </w:r>
      <w:r>
        <w:rPr>
          <w:color w:val="000000" w:themeColor="text1"/>
          <w:sz w:val="26"/>
          <w:szCs w:val="26"/>
          <w:highlight w:val="none"/>
        </w:rPr>
        <w:t xml:space="preserve">, водоснабжени</w:t>
      </w:r>
      <w:r>
        <w:rPr>
          <w:color w:val="000000" w:themeColor="text1"/>
          <w:sz w:val="26"/>
          <w:szCs w:val="26"/>
          <w:highlight w:val="none"/>
        </w:rPr>
        <w:t xml:space="preserve">я</w:t>
      </w:r>
      <w:r>
        <w:rPr>
          <w:color w:val="000000" w:themeColor="text1"/>
          <w:sz w:val="26"/>
          <w:szCs w:val="26"/>
          <w:highlight w:val="none"/>
        </w:rPr>
        <w:t xml:space="preserve">, водоотведени</w:t>
      </w:r>
      <w:r>
        <w:rPr>
          <w:color w:val="000000" w:themeColor="text1"/>
          <w:sz w:val="26"/>
          <w:szCs w:val="26"/>
          <w:highlight w:val="none"/>
        </w:rPr>
        <w:t xml:space="preserve">я</w:t>
      </w:r>
      <w:r>
        <w:rPr>
          <w:color w:val="000000" w:themeColor="text1"/>
          <w:sz w:val="26"/>
          <w:szCs w:val="26"/>
          <w:highlight w:val="none"/>
        </w:rPr>
        <w:t xml:space="preserve">, </w:t>
      </w:r>
      <w:r>
        <w:rPr>
          <w:color w:val="000000" w:themeColor="text1"/>
          <w:sz w:val="26"/>
          <w:szCs w:val="26"/>
          <w:highlight w:val="none"/>
        </w:rPr>
        <w:t xml:space="preserve">электроснабжения, газоснабжения, </w:t>
      </w:r>
      <w:r>
        <w:rPr>
          <w:color w:val="000000" w:themeColor="text1"/>
          <w:sz w:val="26"/>
          <w:szCs w:val="26"/>
          <w:highlight w:val="none"/>
        </w:rPr>
        <w:t xml:space="preserve">обращения с твердыми коммунальными отхода</w:t>
      </w:r>
      <w:r>
        <w:rPr>
          <w:color w:val="000000" w:themeColor="text1"/>
          <w:sz w:val="26"/>
          <w:szCs w:val="26"/>
          <w:highlight w:val="none"/>
        </w:rPr>
        <w:t xml:space="preserve">ми </w:t>
      </w:r>
      <w:r>
        <w:rPr>
          <w:color w:val="000000" w:themeColor="text1"/>
          <w:sz w:val="26"/>
          <w:szCs w:val="26"/>
          <w:highlight w:val="none"/>
        </w:rPr>
        <w:t xml:space="preserve">(далее – коммунальные услуги)</w:t>
      </w:r>
      <w:r>
        <w:rPr>
          <w:color w:val="000000" w:themeColor="text1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  <w:highlight w:val="none"/>
        </w:rPr>
        <w:t xml:space="preserve">С 1 января по 30 июня 2024 года тарифы приняты на уровне декабря 2023 года. </w:t>
      </w:r>
      <w:r>
        <w:rPr>
          <w:sz w:val="26"/>
          <w:szCs w:val="26"/>
        </w:rPr>
      </w:r>
      <w:r/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  <w:highlight w:val="none"/>
        </w:rPr>
        <w:t xml:space="preserve">Плановое </w:t>
      </w:r>
      <w:r>
        <w:rPr>
          <w:bCs/>
          <w:color w:val="000000" w:themeColor="text1"/>
          <w:sz w:val="26"/>
          <w:szCs w:val="26"/>
          <w:highlight w:val="none"/>
        </w:rPr>
        <w:t xml:space="preserve">увеличение</w:t>
      </w:r>
      <w:r>
        <w:rPr>
          <w:bCs/>
          <w:color w:val="000000" w:themeColor="text1"/>
          <w:sz w:val="26"/>
          <w:szCs w:val="26"/>
          <w:highlight w:val="none"/>
        </w:rPr>
        <w:t xml:space="preserve"> тарифов произойдет с 1 июля 2024 года в пределах индексов изменения размера совокупной платы граждан за коммунальные услуги, установленных Правительством Российской Федерации в среднем по Югре и Губернатором </w:t>
      </w:r>
      <w:r>
        <w:rPr>
          <w:bCs/>
          <w:color w:val="000000" w:themeColor="text1"/>
          <w:sz w:val="26"/>
          <w:szCs w:val="26"/>
          <w:highlight w:val="none"/>
        </w:rPr>
        <w:t xml:space="preserve">Ханты-Мансийского авт</w:t>
      </w:r>
      <w:r>
        <w:rPr>
          <w:color w:val="000000" w:themeColor="text1"/>
          <w:sz w:val="26"/>
          <w:szCs w:val="26"/>
          <w:highlight w:val="none"/>
        </w:rPr>
        <w:t xml:space="preserve">ономного округа – </w:t>
      </w:r>
      <w:r>
        <w:rPr>
          <w:color w:val="000000" w:themeColor="text1"/>
          <w:sz w:val="26"/>
          <w:szCs w:val="26"/>
          <w:highlight w:val="none"/>
        </w:rPr>
        <w:t xml:space="preserve">Югры по муниципальным образованиям.</w:t>
      </w:r>
      <w:r>
        <w:rPr>
          <w:sz w:val="26"/>
          <w:szCs w:val="26"/>
        </w:rPr>
      </w:r>
      <w:r/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Распоря</w:t>
      </w:r>
      <w:r>
        <w:rPr>
          <w:color w:val="000000" w:themeColor="text1"/>
          <w:sz w:val="26"/>
          <w:szCs w:val="26"/>
          <w:highlight w:val="none"/>
        </w:rPr>
        <w:t xml:space="preserve">ж</w:t>
      </w:r>
      <w:r>
        <w:rPr>
          <w:color w:val="000000" w:themeColor="text1"/>
          <w:sz w:val="26"/>
          <w:szCs w:val="26"/>
          <w:highlight w:val="none"/>
        </w:rPr>
        <w:t xml:space="preserve">ением Прав</w:t>
      </w:r>
      <w:r>
        <w:rPr>
          <w:color w:val="000000" w:themeColor="text1"/>
          <w:sz w:val="26"/>
          <w:szCs w:val="26"/>
          <w:highlight w:val="none"/>
        </w:rPr>
        <w:t xml:space="preserve">ительства РФ № 3147-р от 10.11.2023 утверждены индексы изменения размера вносимой гражданами платы за коммунальные услуги в среднем по Югре на 2024 год с 1 января – 0%, с 1 июля – 9,6% и предельно допустимое отклонение по отдельным муниципальным </w:t>
      </w:r>
      <w:r>
        <w:rPr>
          <w:color w:val="000000" w:themeColor="text1"/>
          <w:sz w:val="26"/>
          <w:szCs w:val="26"/>
          <w:highlight w:val="none"/>
        </w:rPr>
        <w:t xml:space="preserve">образованиям от величины указанного индекса с 1 января – 0%, с 1 июля – 2%, с учетом которого предельные (максимальные) индексы изменения размера вносимой гражданами платы за коммунальные услуги в муниципальных образованиях автономного округа с 01.07.2024 </w:t>
      </w:r>
      <w:r>
        <w:rPr>
          <w:color w:val="000000" w:themeColor="text1"/>
          <w:sz w:val="26"/>
          <w:szCs w:val="26"/>
          <w:highlight w:val="none"/>
        </w:rPr>
        <w:t xml:space="preserve">(далее – предельные </w:t>
      </w:r>
      <w:r>
        <w:rPr>
          <w:color w:val="000000" w:themeColor="text1"/>
          <w:sz w:val="26"/>
          <w:szCs w:val="26"/>
          <w:highlight w:val="none"/>
        </w:rPr>
        <w:t xml:space="preserve">индексы)</w:t>
      </w:r>
      <w:r>
        <w:rPr>
          <w:color w:val="000000" w:themeColor="text1"/>
          <w:sz w:val="26"/>
          <w:szCs w:val="26"/>
          <w:highlight w:val="none"/>
        </w:rPr>
        <w:t xml:space="preserve"> </w:t>
      </w:r>
      <w:r>
        <w:rPr>
          <w:color w:val="000000" w:themeColor="text1"/>
          <w:sz w:val="26"/>
          <w:szCs w:val="26"/>
          <w:highlight w:val="none"/>
        </w:rPr>
        <w:t xml:space="preserve">не должны превышать 11,6%.</w:t>
      </w:r>
      <w:r>
        <w:rPr>
          <w:sz w:val="26"/>
          <w:szCs w:val="26"/>
        </w:rPr>
      </w:r>
      <w:r/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Согласно Прогноз</w:t>
      </w:r>
      <w:r>
        <w:rPr>
          <w:color w:val="000000" w:themeColor="text1"/>
          <w:sz w:val="26"/>
          <w:szCs w:val="26"/>
          <w:highlight w:val="none"/>
        </w:rPr>
        <w:t xml:space="preserve">у </w:t>
      </w:r>
      <w:r>
        <w:rPr>
          <w:color w:val="000000" w:themeColor="text1"/>
          <w:sz w:val="26"/>
          <w:szCs w:val="26"/>
          <w:highlight w:val="none"/>
        </w:rPr>
        <w:t xml:space="preserve">социально-экономического развития РФ на 2024 год и последующие периоды 2025-2026 годов, одобренно</w:t>
      </w:r>
      <w:r>
        <w:rPr>
          <w:color w:val="000000" w:themeColor="text1"/>
          <w:sz w:val="26"/>
          <w:szCs w:val="26"/>
          <w:highlight w:val="none"/>
        </w:rPr>
        <w:t xml:space="preserve">му</w:t>
      </w:r>
      <w:r>
        <w:rPr>
          <w:color w:val="000000" w:themeColor="text1"/>
          <w:sz w:val="26"/>
          <w:szCs w:val="26"/>
          <w:highlight w:val="none"/>
        </w:rPr>
        <w:t xml:space="preserve"> Правительств</w:t>
      </w:r>
      <w:r>
        <w:rPr>
          <w:color w:val="000000" w:themeColor="text1"/>
          <w:sz w:val="26"/>
          <w:szCs w:val="26"/>
          <w:highlight w:val="none"/>
        </w:rPr>
        <w:t xml:space="preserve">ом</w:t>
      </w:r>
      <w:r>
        <w:rPr>
          <w:color w:val="000000" w:themeColor="text1"/>
          <w:sz w:val="26"/>
          <w:szCs w:val="26"/>
          <w:highlight w:val="none"/>
        </w:rPr>
        <w:t xml:space="preserve"> </w:t>
      </w:r>
      <w:r>
        <w:rPr>
          <w:color w:val="000000" w:themeColor="text1"/>
          <w:sz w:val="26"/>
          <w:szCs w:val="26"/>
          <w:highlight w:val="none"/>
        </w:rPr>
        <w:t xml:space="preserve">РФ</w:t>
      </w:r>
      <w:r>
        <w:rPr>
          <w:color w:val="000000" w:themeColor="text1"/>
          <w:sz w:val="26"/>
          <w:szCs w:val="26"/>
          <w:highlight w:val="none"/>
        </w:rPr>
        <w:t xml:space="preserve"> 22.09.2023</w:t>
      </w:r>
      <w:r>
        <w:rPr>
          <w:color w:val="000000" w:themeColor="text1"/>
          <w:sz w:val="26"/>
          <w:szCs w:val="26"/>
          <w:highlight w:val="none"/>
        </w:rPr>
        <w:t xml:space="preserve">,</w:t>
      </w:r>
      <w:r>
        <w:rPr>
          <w:color w:val="000000" w:themeColor="text1"/>
          <w:sz w:val="26"/>
          <w:szCs w:val="26"/>
          <w:highlight w:val="none"/>
        </w:rPr>
        <w:t xml:space="preserve"> </w:t>
      </w:r>
      <w:r>
        <w:rPr>
          <w:color w:val="000000" w:themeColor="text1"/>
          <w:sz w:val="26"/>
          <w:szCs w:val="26"/>
          <w:highlight w:val="none"/>
        </w:rPr>
        <w:t xml:space="preserve">тарифы для населения подлежат индексации с 1 июля 2024 года не выше:</w:t>
      </w:r>
      <w:r>
        <w:rPr>
          <w:color w:val="000000" w:themeColor="text1"/>
          <w:sz w:val="26"/>
          <w:szCs w:val="26"/>
          <w:highlight w:val="none"/>
        </w:rPr>
        <w:t xml:space="preserve"> </w:t>
      </w:r>
      <w:r>
        <w:rPr>
          <w:color w:val="000000" w:themeColor="text1"/>
          <w:sz w:val="26"/>
          <w:szCs w:val="26"/>
          <w:highlight w:val="none"/>
        </w:rPr>
        <w:t xml:space="preserve">9,</w:t>
      </w:r>
      <w:r>
        <w:rPr>
          <w:color w:val="000000" w:themeColor="text1"/>
          <w:sz w:val="26"/>
          <w:szCs w:val="26"/>
          <w:highlight w:val="none"/>
        </w:rPr>
        <w:t xml:space="preserve">6</w:t>
      </w:r>
      <w:r>
        <w:rPr>
          <w:color w:val="000000" w:themeColor="text1"/>
          <w:sz w:val="26"/>
          <w:szCs w:val="26"/>
          <w:highlight w:val="none"/>
        </w:rPr>
        <w:t xml:space="preserve">% - тепловую энергию, дрова, уголь, холодное водоснабжение</w:t>
      </w:r>
      <w:r>
        <w:rPr>
          <w:color w:val="000000" w:themeColor="text1"/>
          <w:sz w:val="26"/>
          <w:szCs w:val="26"/>
          <w:highlight w:val="none"/>
        </w:rPr>
        <w:t xml:space="preserve">,</w:t>
      </w:r>
      <w:r>
        <w:rPr>
          <w:color w:val="000000" w:themeColor="text1"/>
          <w:sz w:val="26"/>
          <w:szCs w:val="26"/>
          <w:highlight w:val="none"/>
        </w:rPr>
        <w:t xml:space="preserve"> водоотведение</w:t>
      </w:r>
      <w:r>
        <w:rPr>
          <w:color w:val="000000" w:themeColor="text1"/>
          <w:sz w:val="26"/>
          <w:szCs w:val="26"/>
          <w:highlight w:val="none"/>
        </w:rPr>
        <w:t xml:space="preserve"> и </w:t>
      </w:r>
      <w:r>
        <w:rPr>
          <w:color w:val="000000" w:themeColor="text1"/>
          <w:sz w:val="26"/>
          <w:szCs w:val="26"/>
          <w:highlight w:val="none"/>
        </w:rPr>
        <w:t xml:space="preserve">обращение с твердыми коммунальными отходами</w:t>
      </w:r>
      <w:r>
        <w:rPr>
          <w:color w:val="000000" w:themeColor="text1"/>
          <w:sz w:val="26"/>
          <w:szCs w:val="26"/>
          <w:highlight w:val="none"/>
        </w:rPr>
        <w:t xml:space="preserve">;</w:t>
      </w:r>
      <w:r>
        <w:rPr>
          <w:color w:val="000000" w:themeColor="text1"/>
          <w:sz w:val="26"/>
          <w:szCs w:val="26"/>
          <w:highlight w:val="none"/>
        </w:rPr>
        <w:t xml:space="preserve"> </w:t>
      </w:r>
      <w:r>
        <w:rPr>
          <w:color w:val="000000" w:themeColor="text1"/>
          <w:sz w:val="26"/>
          <w:szCs w:val="26"/>
          <w:highlight w:val="none"/>
        </w:rPr>
        <w:t xml:space="preserve">8,9% - на электроэнергию;</w:t>
      </w:r>
      <w:r>
        <w:rPr>
          <w:color w:val="000000" w:themeColor="text1"/>
          <w:sz w:val="26"/>
          <w:szCs w:val="26"/>
          <w:highlight w:val="none"/>
        </w:rPr>
        <w:t xml:space="preserve"> </w:t>
      </w:r>
      <w:r>
        <w:rPr>
          <w:color w:val="000000" w:themeColor="text1"/>
          <w:sz w:val="26"/>
          <w:szCs w:val="26"/>
          <w:highlight w:val="none"/>
        </w:rPr>
        <w:t xml:space="preserve">11,2% - на газ.</w:t>
      </w:r>
      <w:r>
        <w:rPr>
          <w:sz w:val="26"/>
          <w:szCs w:val="26"/>
        </w:rPr>
      </w:r>
      <w:r/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В соответствии с указанными </w:t>
      </w:r>
      <w:r>
        <w:rPr>
          <w:color w:val="000000" w:themeColor="text1"/>
          <w:sz w:val="26"/>
          <w:szCs w:val="26"/>
          <w:highlight w:val="none"/>
        </w:rPr>
        <w:t xml:space="preserve">решениями, принятыми на федеральном уровне, </w:t>
      </w:r>
      <w:r>
        <w:rPr>
          <w:color w:val="000000" w:themeColor="text1"/>
          <w:sz w:val="26"/>
          <w:szCs w:val="26"/>
          <w:highlight w:val="none"/>
        </w:rPr>
        <w:t xml:space="preserve">постановлением </w:t>
      </w:r>
      <w:r>
        <w:rPr>
          <w:color w:val="000000" w:themeColor="text1"/>
          <w:sz w:val="26"/>
          <w:szCs w:val="26"/>
          <w:highlight w:val="none"/>
        </w:rPr>
        <w:t xml:space="preserve">Губернатора автономного округа от 11.12.2023 </w:t>
      </w:r>
      <w:r>
        <w:rPr>
          <w:color w:val="000000" w:themeColor="text1"/>
          <w:sz w:val="26"/>
          <w:szCs w:val="26"/>
          <w:highlight w:val="none"/>
        </w:rPr>
        <w:t xml:space="preserve">№ 185 утверждены предельные индексы </w:t>
      </w:r>
      <w:r>
        <w:rPr>
          <w:color w:val="000000" w:themeColor="text1"/>
          <w:sz w:val="26"/>
          <w:szCs w:val="26"/>
          <w:highlight w:val="none"/>
        </w:rPr>
        <w:t xml:space="preserve">(</w:t>
      </w:r>
      <w:hyperlink r:id="rId13" w:tooltip="https://admhmao.ru/dokumenty/pravovye-akty-gubernatora/9559393/" w:history="1">
        <w:r>
          <w:rPr>
            <w:color w:val="000000" w:themeColor="text1"/>
            <w:sz w:val="26"/>
            <w:szCs w:val="26"/>
            <w:highlight w:val="none"/>
            <w:u w:val="single"/>
            <w:lang w:eastAsia="en-US"/>
          </w:rPr>
          <w:t xml:space="preserve">https://admhmao.ru/dokumenty/pravovye-akty-gubernatora/9559393/</w:t>
        </w:r>
      </w:hyperlink>
      <w:r>
        <w:rPr>
          <w:color w:val="000000" w:themeColor="text1"/>
          <w:sz w:val="26"/>
          <w:szCs w:val="26"/>
          <w:highlight w:val="none"/>
        </w:rPr>
        <w:t xml:space="preserve">)</w:t>
      </w:r>
      <w:r>
        <w:rPr>
          <w:sz w:val="26"/>
          <w:szCs w:val="26"/>
        </w:rPr>
      </w:r>
      <w:r/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По </w:t>
      </w:r>
      <w:r>
        <w:rPr>
          <w:color w:val="000000" w:themeColor="text1"/>
          <w:sz w:val="26"/>
          <w:szCs w:val="26"/>
          <w:highlight w:val="none"/>
        </w:rPr>
        <w:t xml:space="preserve">отдельным </w:t>
      </w:r>
      <w:r>
        <w:rPr>
          <w:color w:val="000000" w:themeColor="text1"/>
          <w:sz w:val="26"/>
          <w:szCs w:val="26"/>
          <w:highlight w:val="none"/>
        </w:rPr>
        <w:t xml:space="preserve">муниципальным образования</w:t>
      </w:r>
      <w:r>
        <w:rPr>
          <w:color w:val="000000" w:themeColor="text1"/>
          <w:sz w:val="26"/>
          <w:szCs w:val="26"/>
          <w:highlight w:val="none"/>
        </w:rPr>
        <w:t xml:space="preserve">м</w:t>
      </w:r>
      <w:r>
        <w:rPr>
          <w:color w:val="000000" w:themeColor="text1"/>
          <w:sz w:val="26"/>
          <w:szCs w:val="26"/>
          <w:highlight w:val="none"/>
        </w:rPr>
        <w:t xml:space="preserve"> автономного округа </w:t>
      </w:r>
      <w:r>
        <w:rPr>
          <w:color w:val="000000" w:themeColor="text1"/>
          <w:sz w:val="26"/>
          <w:szCs w:val="26"/>
          <w:highlight w:val="none"/>
        </w:rPr>
        <w:t xml:space="preserve">с </w:t>
      </w:r>
      <w:r>
        <w:rPr>
          <w:color w:val="000000" w:themeColor="text1"/>
          <w:sz w:val="26"/>
          <w:szCs w:val="26"/>
          <w:highlight w:val="none"/>
        </w:rPr>
        <w:t xml:space="preserve">жил</w:t>
      </w:r>
      <w:r>
        <w:rPr>
          <w:color w:val="000000" w:themeColor="text1"/>
          <w:sz w:val="26"/>
          <w:szCs w:val="26"/>
          <w:highlight w:val="none"/>
        </w:rPr>
        <w:t xml:space="preserve">ыми</w:t>
      </w:r>
      <w:r>
        <w:rPr>
          <w:color w:val="000000" w:themeColor="text1"/>
          <w:sz w:val="26"/>
          <w:szCs w:val="26"/>
          <w:highlight w:val="none"/>
        </w:rPr>
        <w:t xml:space="preserve"> помещения</w:t>
      </w:r>
      <w:r>
        <w:rPr>
          <w:color w:val="000000" w:themeColor="text1"/>
          <w:sz w:val="26"/>
          <w:szCs w:val="26"/>
          <w:highlight w:val="none"/>
        </w:rPr>
        <w:t xml:space="preserve">ми</w:t>
      </w:r>
      <w:r>
        <w:rPr>
          <w:color w:val="000000" w:themeColor="text1"/>
          <w:sz w:val="26"/>
          <w:szCs w:val="26"/>
          <w:highlight w:val="none"/>
        </w:rPr>
        <w:t xml:space="preserve"> </w:t>
      </w:r>
      <w:r>
        <w:rPr>
          <w:color w:val="000000" w:themeColor="text1"/>
          <w:sz w:val="26"/>
          <w:szCs w:val="26"/>
          <w:highlight w:val="none"/>
        </w:rPr>
        <w:t xml:space="preserve">в наборе коммунальных услуг которых большую долю занимает газоснабжение,</w:t>
      </w:r>
      <w:r>
        <w:rPr>
          <w:color w:val="000000" w:themeColor="text1"/>
          <w:sz w:val="26"/>
          <w:szCs w:val="26"/>
          <w:highlight w:val="none"/>
        </w:rPr>
        <w:t xml:space="preserve"> </w:t>
      </w:r>
      <w:r>
        <w:rPr>
          <w:color w:val="000000" w:themeColor="text1"/>
          <w:sz w:val="26"/>
          <w:szCs w:val="26"/>
          <w:highlight w:val="none"/>
        </w:rPr>
        <w:t xml:space="preserve">предельные индексы </w:t>
      </w:r>
      <w:r>
        <w:rPr>
          <w:color w:val="000000" w:themeColor="text1"/>
          <w:sz w:val="26"/>
          <w:szCs w:val="26"/>
          <w:highlight w:val="none"/>
        </w:rPr>
        <w:t xml:space="preserve">утверждены</w:t>
      </w:r>
      <w:r>
        <w:rPr>
          <w:color w:val="000000" w:themeColor="text1"/>
          <w:sz w:val="26"/>
          <w:szCs w:val="26"/>
          <w:highlight w:val="none"/>
        </w:rPr>
        <w:t xml:space="preserve"> более 9,6%</w:t>
      </w:r>
      <w:r>
        <w:rPr>
          <w:color w:val="000000" w:themeColor="text1"/>
          <w:sz w:val="26"/>
          <w:szCs w:val="26"/>
          <w:highlight w:val="none"/>
        </w:rPr>
        <w:t xml:space="preserve">, но не выше 11,</w:t>
      </w:r>
      <w:r>
        <w:rPr>
          <w:color w:val="000000" w:themeColor="text1"/>
          <w:sz w:val="26"/>
          <w:szCs w:val="26"/>
          <w:highlight w:val="none"/>
        </w:rPr>
        <w:t xml:space="preserve">0</w:t>
      </w:r>
      <w:r>
        <w:rPr>
          <w:color w:val="000000" w:themeColor="text1"/>
          <w:sz w:val="26"/>
          <w:szCs w:val="26"/>
          <w:highlight w:val="none"/>
        </w:rPr>
        <w:t xml:space="preserve">%</w:t>
      </w:r>
      <w:r>
        <w:rPr>
          <w:color w:val="000000" w:themeColor="text1"/>
          <w:sz w:val="26"/>
          <w:szCs w:val="26"/>
          <w:highlight w:val="none"/>
        </w:rPr>
        <w:t xml:space="preserve">,</w:t>
      </w:r>
      <w:r>
        <w:rPr>
          <w:color w:val="000000" w:themeColor="text1"/>
          <w:sz w:val="26"/>
          <w:szCs w:val="26"/>
          <w:highlight w:val="none"/>
        </w:rPr>
        <w:t xml:space="preserve"> в связи прогнозируемым ростом тарифа </w:t>
      </w:r>
      <w:r>
        <w:rPr>
          <w:color w:val="000000" w:themeColor="text1"/>
          <w:sz w:val="26"/>
          <w:szCs w:val="26"/>
          <w:highlight w:val="none"/>
        </w:rPr>
        <w:t xml:space="preserve">на </w:t>
      </w:r>
      <w:r>
        <w:rPr>
          <w:color w:val="000000" w:themeColor="text1"/>
          <w:sz w:val="26"/>
          <w:szCs w:val="26"/>
          <w:highlight w:val="none"/>
        </w:rPr>
        <w:t xml:space="preserve">газ 11,2%</w:t>
      </w:r>
      <w:r>
        <w:rPr>
          <w:color w:val="000000" w:themeColor="text1"/>
          <w:sz w:val="26"/>
          <w:szCs w:val="26"/>
          <w:highlight w:val="none"/>
        </w:rPr>
        <w:t xml:space="preserve">, доля таких граждан </w:t>
      </w:r>
      <w:r>
        <w:rPr>
          <w:color w:val="000000" w:themeColor="text1"/>
          <w:sz w:val="26"/>
          <w:szCs w:val="26"/>
          <w:highlight w:val="none"/>
        </w:rPr>
        <w:t xml:space="preserve">от всей численности населения в Югре</w:t>
      </w:r>
      <w:r>
        <w:rPr>
          <w:color w:val="000000" w:themeColor="text1"/>
          <w:sz w:val="26"/>
          <w:szCs w:val="26"/>
          <w:highlight w:val="none"/>
        </w:rPr>
        <w:t xml:space="preserve"> составляет</w:t>
      </w:r>
      <w:r>
        <w:rPr>
          <w:color w:val="000000" w:themeColor="text1"/>
          <w:sz w:val="26"/>
          <w:szCs w:val="26"/>
          <w:highlight w:val="none"/>
        </w:rPr>
        <w:t xml:space="preserve"> 1,36%</w:t>
      </w:r>
      <w:r>
        <w:rPr>
          <w:color w:val="000000" w:themeColor="text1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Для остальных </w:t>
      </w:r>
      <w:r>
        <w:rPr>
          <w:color w:val="000000" w:themeColor="text1"/>
          <w:sz w:val="26"/>
          <w:szCs w:val="26"/>
          <w:highlight w:val="none"/>
        </w:rPr>
        <w:t xml:space="preserve">граждан </w:t>
      </w:r>
      <w:r>
        <w:rPr>
          <w:color w:val="000000" w:themeColor="text1"/>
          <w:sz w:val="26"/>
          <w:szCs w:val="26"/>
          <w:highlight w:val="none"/>
        </w:rPr>
        <w:t xml:space="preserve">рост платы </w:t>
      </w:r>
      <w:r>
        <w:rPr>
          <w:color w:val="000000" w:themeColor="text1"/>
          <w:sz w:val="26"/>
          <w:szCs w:val="26"/>
          <w:highlight w:val="none"/>
        </w:rPr>
        <w:t xml:space="preserve">с 1 июля 2024 года </w:t>
      </w:r>
      <w:r>
        <w:rPr>
          <w:color w:val="000000" w:themeColor="text1"/>
          <w:sz w:val="26"/>
          <w:szCs w:val="26"/>
          <w:highlight w:val="none"/>
        </w:rPr>
        <w:t xml:space="preserve">не превысит 9,6%.</w:t>
      </w:r>
      <w:r>
        <w:rPr>
          <w:sz w:val="26"/>
          <w:szCs w:val="26"/>
        </w:rPr>
      </w:r>
      <w:r/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Велич</w:t>
      </w:r>
      <w:r>
        <w:rPr>
          <w:color w:val="000000" w:themeColor="text1"/>
          <w:sz w:val="26"/>
          <w:szCs w:val="26"/>
          <w:highlight w:val="none"/>
        </w:rPr>
        <w:t xml:space="preserve">ина тарифов на коммунальные услуги определяется технико-экономическими показателями систем коммунальной инфраструктуры созданных в каждом конкретном муниципальном образовании и зависит от КПД эксплуатируемого оборудования, вида и цены топлива, уровня автом</w:t>
      </w:r>
      <w:r>
        <w:rPr>
          <w:color w:val="000000" w:themeColor="text1"/>
          <w:sz w:val="26"/>
          <w:szCs w:val="26"/>
          <w:highlight w:val="none"/>
        </w:rPr>
        <w:t xml:space="preserve">атизации технологического процесса, протяженности сетей коммунальной инфраструктуры, загрузки основных производственных фондов, а также наличия утвержденной в установленном порядке инвестиционной программы модернизации и реконструкции коммунальных систем. </w:t>
      </w:r>
      <w:r>
        <w:rPr>
          <w:sz w:val="26"/>
          <w:szCs w:val="26"/>
        </w:rPr>
      </w:r>
      <w:r/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Поэтому т</w:t>
      </w:r>
      <w:r>
        <w:rPr>
          <w:color w:val="000000" w:themeColor="text1"/>
          <w:sz w:val="26"/>
          <w:szCs w:val="26"/>
          <w:highlight w:val="none"/>
        </w:rPr>
        <w:t xml:space="preserve">арифы на одни и те же коммунальные услуги, </w:t>
      </w:r>
      <w:r>
        <w:rPr>
          <w:color w:val="000000" w:themeColor="text1"/>
          <w:sz w:val="26"/>
          <w:szCs w:val="26"/>
          <w:highlight w:val="none"/>
        </w:rPr>
        <w:t xml:space="preserve">для разных организаций </w:t>
      </w:r>
      <w:r>
        <w:rPr>
          <w:color w:val="000000" w:themeColor="text1"/>
          <w:sz w:val="26"/>
          <w:szCs w:val="26"/>
          <w:highlight w:val="none"/>
        </w:rPr>
        <w:t xml:space="preserve">в разных муниципальных образованиях имеют различную величину по причине деятельности организаций в неодинаковых (несопоставимых) условиях, обусловленных сложившимися схемами поставки коммунальных ресурсов.</w:t>
      </w:r>
      <w:r>
        <w:rPr>
          <w:sz w:val="26"/>
          <w:szCs w:val="26"/>
        </w:rPr>
      </w:r>
      <w:r/>
    </w:p>
    <w:p>
      <w:pPr>
        <w:ind w:firstLine="851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</w:t>
      </w:r>
      <w:r>
        <w:rPr>
          <w:color w:val="000000" w:themeColor="text1"/>
          <w:sz w:val="26"/>
          <w:szCs w:val="26"/>
          <w:highlight w:val="none"/>
        </w:rPr>
        <w:t xml:space="preserve">прогнозом социально-экономического</w:t>
      </w:r>
      <w:r>
        <w:rPr>
          <w:color w:val="000000" w:themeColor="text1"/>
          <w:sz w:val="26"/>
          <w:szCs w:val="26"/>
          <w:highlight w:val="none"/>
        </w:rPr>
        <w:t xml:space="preserve"> развития РФ,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</w:t>
      </w:r>
      <w:r>
        <w:rPr>
          <w:color w:val="000000" w:themeColor="text1"/>
          <w:sz w:val="26"/>
          <w:szCs w:val="26"/>
          <w:highlight w:val="none"/>
        </w:rPr>
        <w:t xml:space="preserve"> услуг, связанным с погодными условиями и энергосбережением потребителей.</w:t>
      </w:r>
      <w:r>
        <w:rPr>
          <w:sz w:val="26"/>
          <w:szCs w:val="26"/>
        </w:rPr>
      </w:r>
      <w:r/>
    </w:p>
    <w:p>
      <w:pPr>
        <w:ind w:right="1" w:firstLine="709"/>
        <w:jc w:val="both"/>
        <w:spacing w:line="276" w:lineRule="auto"/>
        <w:tabs>
          <w:tab w:val="left" w:pos="567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При этом, рост тарифов по некоторым коммунальным услугам может быть выше установленных индексов (инфляции) за счет отсутствия роста или роста ниже инфляции по другим коммунальным услугам, входящим в состав платы за коммунальные услуги.</w:t>
      </w:r>
      <w:r>
        <w:rPr>
          <w:sz w:val="26"/>
          <w:szCs w:val="26"/>
        </w:rPr>
      </w:r>
      <w:r/>
    </w:p>
    <w:p>
      <w:pPr>
        <w:ind w:right="1" w:firstLine="709"/>
        <w:jc w:val="both"/>
        <w:spacing w:line="276" w:lineRule="auto"/>
        <w:tabs>
          <w:tab w:val="left" w:pos="567" w:leader="none"/>
        </w:tabs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Рост или снижение тарифов на каждую коммунальную услугу обусловлены экономически обоснованными расходами регулируемой организации, определенными в соответствии с требованиями действующего законодательства.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Величина платы за коммунальные услуги рассчитывается исходя из тарифов и объема потребления, определяемого по показаниям приборов учета или нормативам потребления (в том числе нормативам накопления твердых коммунальных отходов).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Для соблюдения законодательства об ограничении роста платы граждан за коммунал</w:t>
      </w:r>
      <w:r>
        <w:rPr>
          <w:color w:val="000000" w:themeColor="text1"/>
          <w:sz w:val="26"/>
          <w:szCs w:val="26"/>
          <w:highlight w:val="none"/>
        </w:rPr>
        <w:t xml:space="preserve">ьные усл</w:t>
      </w:r>
      <w:r>
        <w:rPr>
          <w:color w:val="000000" w:themeColor="text1"/>
          <w:sz w:val="26"/>
          <w:szCs w:val="26"/>
          <w:highlight w:val="none"/>
        </w:rPr>
        <w:t xml:space="preserve">уги для населения могут применятся тарифы с учетом уровня платы в размере ниже экономически обоснованных тарифов, установленных РСТ Югры, с компенсацией разницы ресурсоснабжающим организациям из бюджетной системы муниципального образования или субъекта РФ.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color w:val="000000" w:themeColor="text1"/>
          <w:sz w:val="26"/>
          <w:szCs w:val="26"/>
          <w:highlight w:val="none"/>
        </w:rPr>
        <w:t xml:space="preserve">Контроль за правильностью применения тарифов в сфере тепло, водоснабжения, водоотведения, обращения с твердыми коммунальными услугами осуществляет РСТ Югры.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Информация об установленных РСТ Югры тарифах на тепловую энергию, холодное </w:t>
      </w: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водоснабжение, водоотведение, по обращению с </w:t>
      </w: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ТКО </w:t>
      </w: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размещена на </w:t>
      </w: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сайте РСТ Югры </w:t>
      </w:r>
      <w:r>
        <w:rPr>
          <w:color w:val="000000" w:themeColor="text1"/>
          <w:sz w:val="26"/>
          <w:szCs w:val="26"/>
          <w:highlight w:val="none"/>
          <w:u w:val="none"/>
        </w:rPr>
        <w:t xml:space="preserve">(</w:t>
      </w:r>
      <w:hyperlink r:id="rId14" w:tooltip="http://bptr.eias.admhmao.ru/TariffDecisions?reg=RU.5.86" w:history="1">
        <w:r>
          <w:rPr>
            <w:color w:val="000000" w:themeColor="text1"/>
            <w:sz w:val="26"/>
            <w:szCs w:val="26"/>
            <w:highlight w:val="none"/>
            <w:u w:val="none"/>
          </w:rPr>
          <w:t xml:space="preserve">http://bptr.eias.admhmao.ru/TariffDecisions?reg=RU.5.86/</w:t>
        </w:r>
      </w:hyperlink>
      <w:r>
        <w:rPr>
          <w:color w:val="000000" w:themeColor="text1"/>
          <w:sz w:val="26"/>
          <w:szCs w:val="26"/>
          <w:highlight w:val="none"/>
          <w:u w:val="none"/>
        </w:rPr>
        <w:t xml:space="preserve">)</w:t>
      </w:r>
      <w:r>
        <w:rPr>
          <w:color w:val="000000" w:themeColor="text1"/>
          <w:sz w:val="26"/>
          <w:szCs w:val="26"/>
          <w:highlight w:val="none"/>
          <w:u w:val="none"/>
        </w:rPr>
        <w:t xml:space="preserve"> </w:t>
      </w:r>
      <w:r>
        <w:rPr>
          <w:rFonts w:eastAsia="Calibri"/>
          <w:color w:val="000000" w:themeColor="text1"/>
          <w:sz w:val="26"/>
          <w:szCs w:val="26"/>
          <w:highlight w:val="none"/>
          <w:u w:val="none"/>
        </w:rPr>
        <w:t xml:space="preserve">и</w:t>
      </w:r>
      <w:r>
        <w:rPr>
          <w:rFonts w:eastAsia="Calibri"/>
          <w:color w:val="000000" w:themeColor="text1"/>
          <w:sz w:val="26"/>
          <w:szCs w:val="26"/>
          <w:highlight w:val="none"/>
          <w:u w:val="none"/>
        </w:rPr>
        <w:t xml:space="preserve"> в разделе «Документы» в подразделе «Приказы службы» / «Те</w:t>
      </w:r>
      <w:r>
        <w:rPr>
          <w:rFonts w:eastAsia="Calibri"/>
          <w:color w:val="000000" w:themeColor="text1"/>
          <w:sz w:val="26"/>
          <w:szCs w:val="26"/>
          <w:highlight w:val="none"/>
          <w:u w:val="none"/>
        </w:rPr>
        <w:t xml:space="preserve">плоэнергетика» /«Водоснабжение и водоотведение»/ «Обращение с твердыми коммунальными отходами»</w:t>
      </w:r>
      <w:r>
        <w:rPr>
          <w:color w:val="000000" w:themeColor="text1"/>
          <w:sz w:val="26"/>
          <w:szCs w:val="26"/>
          <w:highlight w:val="none"/>
          <w:u w:val="none"/>
        </w:rPr>
        <w:t xml:space="preserve">/ «Газовая отрасль» </w:t>
      </w:r>
      <w:r>
        <w:rPr>
          <w:color w:val="000000" w:themeColor="text1"/>
          <w:sz w:val="26"/>
          <w:szCs w:val="26"/>
          <w:highlight w:val="none"/>
          <w:u w:val="none"/>
        </w:rPr>
        <w:t xml:space="preserve">(</w:t>
      </w:r>
      <w:hyperlink r:id="rId15" w:tooltip="https://rst.admhmao.ru/dokumenty/" w:history="1">
        <w:r>
          <w:rPr>
            <w:rStyle w:val="878"/>
            <w:color w:val="000000" w:themeColor="text1"/>
            <w:sz w:val="26"/>
            <w:szCs w:val="26"/>
            <w:highlight w:val="none"/>
            <w:u w:val="none"/>
          </w:rPr>
          <w:t xml:space="preserve">https://rst.admhmao.ru/dokumenty/</w:t>
        </w:r>
      </w:hyperlink>
      <w:r>
        <w:rPr>
          <w:color w:val="000000" w:themeColor="text1"/>
          <w:sz w:val="26"/>
          <w:szCs w:val="26"/>
          <w:highlight w:val="none"/>
          <w:u w:val="none"/>
        </w:rPr>
        <w:t xml:space="preserve">).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Н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а сайте </w:t>
      </w:r>
      <w:r>
        <w:rPr>
          <w:color w:val="000000" w:themeColor="text1"/>
          <w:sz w:val="26"/>
          <w:szCs w:val="26"/>
          <w:highlight w:val="none"/>
        </w:rPr>
        <w:t xml:space="preserve">регионального </w:t>
      </w:r>
      <w:r>
        <w:rPr>
          <w:color w:val="000000" w:themeColor="text1"/>
          <w:sz w:val="26"/>
          <w:szCs w:val="26"/>
          <w:highlight w:val="none"/>
        </w:rPr>
        <w:t xml:space="preserve">оператора по обращению с твердыми коммунальными о</w:t>
      </w:r>
      <w:r>
        <w:rPr>
          <w:color w:val="000000" w:themeColor="text1"/>
          <w:sz w:val="26"/>
          <w:szCs w:val="26"/>
          <w:highlight w:val="none"/>
        </w:rPr>
        <w:t xml:space="preserve">тходами</w:t>
      </w:r>
      <w:r>
        <w:rPr>
          <w:color w:val="000000" w:themeColor="text1"/>
          <w:sz w:val="26"/>
          <w:szCs w:val="26"/>
          <w:highlight w:val="none"/>
        </w:rPr>
        <w:t xml:space="preserve"> АО «Югра-Экология» 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установлена программа для расчета платежа за услугу «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Обращение с ТКО»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(</w:t>
      </w:r>
      <w:hyperlink r:id="rId16" w:tooltip="https://www.yugra-ecology.ru/calculator" w:history="1">
        <w:r>
          <w:rPr>
            <w:rStyle w:val="878"/>
            <w:rFonts w:eastAsia="Arial Unicode MS"/>
            <w:color w:val="000000" w:themeColor="text1"/>
            <w:sz w:val="26"/>
            <w:szCs w:val="26"/>
            <w:highlight w:val="none"/>
            <w:u w:val="none"/>
          </w:rPr>
          <w:t xml:space="preserve">https://www.yugra-ecology.ru/calculator</w:t>
        </w:r>
      </w:hyperlink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)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Информация об установленных та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рифа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х на электрическую энергию для населения размещена на сайте РЭК</w:t>
      </w:r>
      <w:r>
        <w:rPr>
          <w:rFonts w:eastAsia="Arial Unicode MS"/>
          <w:color w:val="000000" w:themeColor="text1"/>
          <w:sz w:val="26"/>
          <w:szCs w:val="26"/>
          <w:highlight w:val="none"/>
          <w:u w:val="none"/>
        </w:rPr>
        <w:t xml:space="preserve"> (</w:t>
      </w:r>
      <w:r>
        <w:rPr>
          <w:rFonts w:eastAsia="Arial Unicode MS"/>
          <w:color w:val="000000" w:themeColor="text1"/>
          <w:sz w:val="26"/>
          <w:szCs w:val="26"/>
          <w:highlight w:val="none"/>
          <w:u w:val="none"/>
        </w:rPr>
      </w:r>
      <w:hyperlink r:id="rId17" w:tooltip="https://rec.admtyumen.ru/" w:history="1">
        <w:r>
          <w:rPr>
            <w:rStyle w:val="896"/>
            <w:rFonts w:eastAsia="Arial Unicode MS"/>
            <w:color w:val="000000" w:themeColor="text1"/>
            <w:sz w:val="26"/>
            <w:szCs w:val="26"/>
            <w:highlight w:val="none"/>
            <w:u w:val="none"/>
          </w:rPr>
          <w:t xml:space="preserve">https://rec.admtyumen.ru/</w:t>
        </w:r>
        <w:r>
          <w:rPr>
            <w:rStyle w:val="896"/>
            <w:rFonts w:eastAsia="Arial Unicode MS"/>
            <w:color w:val="000000" w:themeColor="text1"/>
            <w:sz w:val="26"/>
            <w:szCs w:val="26"/>
            <w:highlight w:val="none"/>
            <w:u w:val="single"/>
          </w:rPr>
        </w:r>
      </w:hyperlink>
      <w:r>
        <w:rPr>
          <w:rFonts w:eastAsia="Arial Unicode MS"/>
          <w:color w:val="000000" w:themeColor="text1"/>
          <w:sz w:val="26"/>
          <w:szCs w:val="26"/>
          <w:highlight w:val="none"/>
          <w:u w:val="none"/>
        </w:rPr>
        <w:t xml:space="preserve">) 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на 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главной странице «Деятельность», раздел «Нормативные правовые и ненормативные правовые акты».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Контроль за</w:t>
      </w:r>
      <w:r>
        <w:rPr>
          <w:rFonts w:eastAsia="Arial Unicode MS"/>
          <w:color w:val="000000" w:themeColor="text1"/>
          <w:sz w:val="26"/>
          <w:szCs w:val="26"/>
          <w:highlight w:val="none"/>
        </w:rPr>
        <w:t xml:space="preserve"> правильностью установления размера платы за содержание и ремонт жилого помещения, определения размера и внесен</w:t>
      </w:r>
      <w:r>
        <w:rPr>
          <w:color w:val="000000" w:themeColor="text1"/>
          <w:sz w:val="26"/>
          <w:szCs w:val="26"/>
          <w:highlight w:val="none"/>
        </w:rPr>
        <w:t xml:space="preserve">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18" w:tooltip="http://www.jsn.admhmao.ru/" w:history="1">
        <w:r>
          <w:rPr>
            <w:rStyle w:val="878"/>
            <w:color w:val="000000" w:themeColor="text1"/>
            <w:sz w:val="26"/>
            <w:szCs w:val="26"/>
            <w:highlight w:val="none"/>
          </w:rPr>
          <w:t xml:space="preserve">http://www.jsn.admhmao.ru/.</w:t>
        </w:r>
      </w:hyperlink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Установление нормативов потребления и понижающих коэффициентов к ним на холодную, горячую воду, водоотведение, отопление, минимального размера взноса на капитальный ремонт общего имущества в многоквартирном доме осуществляет </w:t>
      </w: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Департамент строительства </w:t>
      </w: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и жилищно-коммунального комплекса</w:t>
      </w: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Ханты-Мансийского автономного округа – Югры</w:t>
      </w:r>
      <w:r>
        <w:rPr>
          <w:rFonts w:eastAsia="Calibri"/>
          <w:color w:val="000000" w:themeColor="text1"/>
          <w:sz w:val="26"/>
          <w:szCs w:val="26"/>
          <w:highlight w:val="none"/>
        </w:rPr>
        <w:t xml:space="preserve">, сайт: </w:t>
      </w:r>
      <w:hyperlink r:id="rId19" w:tooltip="https://www.ds.admhmao.ru/" w:history="1">
        <w:r>
          <w:rPr>
            <w:rStyle w:val="878"/>
            <w:color w:val="000000" w:themeColor="text1"/>
            <w:sz w:val="26"/>
            <w:szCs w:val="26"/>
            <w:highlight w:val="none"/>
          </w:rPr>
          <w:t xml:space="preserve">https://www.ds.admhmao.ru/</w:t>
        </w:r>
      </w:hyperlink>
      <w:r>
        <w:rPr>
          <w:rStyle w:val="878"/>
          <w:color w:val="000000" w:themeColor="text1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rFonts w:eastAsia="Calibri"/>
          <w:b/>
          <w:bCs/>
          <w:color w:val="000000" w:themeColor="text1"/>
          <w:sz w:val="26"/>
          <w:szCs w:val="26"/>
          <w:highlight w:val="none"/>
          <w:u w:val="none"/>
        </w:rPr>
      </w:pPr>
      <w:r>
        <w:rPr>
          <w:color w:val="000000" w:themeColor="text1"/>
          <w:sz w:val="26"/>
          <w:szCs w:val="26"/>
          <w:highlight w:val="none"/>
        </w:rPr>
        <w:t xml:space="preserve">Установление нормативов </w:t>
      </w:r>
      <w:r>
        <w:rPr>
          <w:color w:val="000000" w:themeColor="text1"/>
          <w:sz w:val="26"/>
          <w:szCs w:val="26"/>
          <w:highlight w:val="none"/>
        </w:rPr>
        <w:t xml:space="preserve">накоплен</w:t>
      </w:r>
      <w:r>
        <w:rPr>
          <w:color w:val="000000" w:themeColor="text1"/>
          <w:sz w:val="26"/>
          <w:szCs w:val="26"/>
          <w:highlight w:val="none"/>
        </w:rPr>
        <w:t xml:space="preserve">ия твердых коммунальных отходов осуществляет Департамент промышленности Ханты-Мансийского автономного округа – Югры</w:t>
      </w:r>
      <w:r>
        <w:rPr>
          <w:rStyle w:val="878"/>
          <w:color w:val="000000" w:themeColor="text1"/>
          <w:sz w:val="26"/>
          <w:szCs w:val="26"/>
          <w:highlight w:val="none"/>
        </w:rPr>
        <w:t xml:space="preserve"> </w:t>
      </w:r>
      <w:hyperlink r:id="rId20" w:tooltip="https://depprom.admhmao.ru/" w:history="1">
        <w:r>
          <w:rPr>
            <w:rStyle w:val="878"/>
            <w:color w:val="000000" w:themeColor="text1"/>
            <w:sz w:val="26"/>
            <w:szCs w:val="26"/>
            <w:highlight w:val="none"/>
          </w:rPr>
          <w:t xml:space="preserve">https://depprom.admhmao.ru/</w:t>
        </w:r>
      </w:hyperlink>
      <w:r>
        <w:rPr>
          <w:rStyle w:val="878"/>
          <w:color w:val="000000" w:themeColor="text1"/>
          <w:sz w:val="26"/>
          <w:szCs w:val="26"/>
          <w:highlight w:val="none"/>
        </w:rPr>
        <w:t xml:space="preserve">.</w:t>
      </w:r>
      <w:r>
        <w:rPr>
          <w:rStyle w:val="878"/>
          <w:sz w:val="26"/>
          <w:szCs w:val="26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3"/>
        <w:jc w:val="right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>
        <w:rPr>
          <w:color w:val="d9d9d9"/>
          <w:sz w:val="28"/>
          <w:szCs w:val="28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>
        <w:rPr>
          <w:color w:val="d9d9d9"/>
          <w:sz w:val="28"/>
          <w:szCs w:val="28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>
        <w:rPr>
          <w:color w:val="d9d9d9"/>
          <w:sz w:val="28"/>
          <w:szCs w:val="28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>
        <w:rPr>
          <w:color w:val="d9d9d9"/>
          <w:sz w:val="28"/>
          <w:szCs w:val="28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>
        <w:rPr>
          <w:color w:val="d9d9d9"/>
          <w:sz w:val="28"/>
          <w:szCs w:val="28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>
        <w:rPr>
          <w:color w:val="d9d9d9"/>
          <w:sz w:val="28"/>
          <w:szCs w:val="28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>
        <w:rPr>
          <w:color w:val="d9d9d9"/>
          <w:sz w:val="28"/>
          <w:szCs w:val="28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>
        <w:rPr>
          <w:color w:val="d9d9d9"/>
          <w:sz w:val="28"/>
          <w:szCs w:val="28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>
        <w:rPr>
          <w:color w:val="d9d9d9"/>
          <w:sz w:val="28"/>
          <w:szCs w:val="28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>
        <w:rPr>
          <w:color w:val="d9d9d9"/>
          <w:sz w:val="28"/>
          <w:szCs w:val="28"/>
        </w:rPr>
      </w:r>
      <w:r/>
    </w:p>
    <w:p>
      <w:pPr>
        <w:jc w:val="right"/>
        <w:rPr>
          <w:color w:val="d9d9d9"/>
          <w:sz w:val="28"/>
          <w:szCs w:val="28"/>
        </w:rPr>
      </w:pPr>
      <w:r>
        <w:rPr>
          <w:color w:val="d9d9d9"/>
          <w:sz w:val="28"/>
          <w:szCs w:val="28"/>
        </w:rPr>
      </w:r>
      <w:r/>
    </w:p>
    <w:p>
      <w:pPr>
        <w:pStyle w:val="883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spacing w:line="264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Информация </w:t>
      </w:r>
      <w:r>
        <w:rPr>
          <w:sz w:val="26"/>
          <w:szCs w:val="26"/>
        </w:rPr>
      </w:r>
      <w:r/>
    </w:p>
    <w:p>
      <w:pPr>
        <w:ind w:firstLine="709"/>
        <w:jc w:val="center"/>
        <w:spacing w:line="264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об особенностях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установления </w:t>
      </w:r>
      <w:r>
        <w:rPr>
          <w:b/>
          <w:sz w:val="26"/>
          <w:szCs w:val="26"/>
        </w:rPr>
        <w:t xml:space="preserve">единых тарифов на</w:t>
      </w:r>
      <w:r>
        <w:rPr>
          <w:b/>
          <w:sz w:val="26"/>
          <w:szCs w:val="26"/>
        </w:rPr>
        <w:t xml:space="preserve"> услугу</w:t>
      </w:r>
      <w:r>
        <w:rPr>
          <w:sz w:val="26"/>
          <w:szCs w:val="26"/>
        </w:rPr>
      </w:r>
      <w:r/>
    </w:p>
    <w:p>
      <w:pPr>
        <w:ind w:firstLine="709"/>
        <w:jc w:val="center"/>
        <w:spacing w:line="264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по обращению </w:t>
      </w:r>
      <w:r>
        <w:rPr>
          <w:b/>
          <w:sz w:val="26"/>
          <w:szCs w:val="26"/>
        </w:rPr>
        <w:t xml:space="preserve">с </w:t>
      </w:r>
      <w:r>
        <w:rPr>
          <w:b/>
          <w:sz w:val="26"/>
          <w:szCs w:val="26"/>
        </w:rPr>
        <w:t xml:space="preserve">твердыми коммунальными отходами </w:t>
      </w:r>
      <w:r>
        <w:rPr>
          <w:b/>
          <w:sz w:val="26"/>
          <w:szCs w:val="26"/>
        </w:rPr>
        <w:t xml:space="preserve">на 2024 год</w:t>
      </w:r>
      <w:r>
        <w:rPr>
          <w:sz w:val="26"/>
          <w:szCs w:val="26"/>
        </w:rPr>
      </w:r>
      <w:r/>
    </w:p>
    <w:p>
      <w:pPr>
        <w:ind w:firstLine="709"/>
        <w:jc w:val="center"/>
        <w:spacing w:line="264" w:lineRule="auto"/>
        <w:rPr>
          <w:sz w:val="26"/>
          <w:szCs w:val="26"/>
        </w:rPr>
      </w:pPr>
      <w:r>
        <w:rPr>
          <w:b/>
          <w:bCs/>
          <w:sz w:val="26"/>
          <w:szCs w:val="26"/>
          <w:highlight w:val="none"/>
        </w:rPr>
      </w:r>
      <w:r>
        <w:rPr>
          <w:sz w:val="26"/>
          <w:szCs w:val="26"/>
        </w:rPr>
      </w:r>
      <w:r/>
    </w:p>
    <w:p>
      <w:pPr>
        <w:ind w:right="-1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Установление </w:t>
      </w:r>
      <w:r>
        <w:rPr>
          <w:sz w:val="26"/>
          <w:szCs w:val="26"/>
        </w:rPr>
        <w:t xml:space="preserve">предельных </w:t>
      </w:r>
      <w:r>
        <w:rPr>
          <w:sz w:val="26"/>
          <w:szCs w:val="26"/>
        </w:rPr>
        <w:t xml:space="preserve">единых тарифов </w:t>
      </w:r>
      <w:r>
        <w:rPr>
          <w:sz w:val="26"/>
          <w:szCs w:val="26"/>
        </w:rPr>
        <w:t xml:space="preserve">на услугу регионального оператора по обращению с твердыми коммунальными отходами (далее – ТКО; единый тариф) на территории Ханты-Мансийского автономного округа – Югры </w:t>
      </w:r>
      <w:r>
        <w:rPr>
          <w:sz w:val="26"/>
          <w:szCs w:val="26"/>
        </w:rPr>
        <w:t xml:space="preserve">осуществляется </w:t>
      </w:r>
      <w:r>
        <w:rPr>
          <w:sz w:val="26"/>
          <w:szCs w:val="26"/>
        </w:rPr>
        <w:t xml:space="preserve">Региональной службой</w:t>
      </w:r>
      <w:r>
        <w:rPr>
          <w:sz w:val="26"/>
          <w:szCs w:val="26"/>
        </w:rPr>
        <w:t xml:space="preserve"> по тарифам Ханты-Мансийского автономного округа – Югры (далее – РСТ Югры)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right="-1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Регулирование осуществляется в</w:t>
      </w:r>
      <w:r>
        <w:rPr>
          <w:sz w:val="26"/>
          <w:szCs w:val="26"/>
        </w:rPr>
        <w:t xml:space="preserve"> соответствии с требованиями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/>
    </w:p>
    <w:p>
      <w:pPr>
        <w:ind w:right="-1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Федерального закона от 24.06.1998 № 89-ФЗ «Об отходах производства и потребления» (далее – Закон № 89-ФЗ)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/>
    </w:p>
    <w:p>
      <w:pPr>
        <w:ind w:right="-1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постановления Правительства Российской Федерации от 30.05.2016 </w:t>
      </w:r>
      <w:r>
        <w:rPr>
          <w:sz w:val="26"/>
          <w:szCs w:val="26"/>
          <w:lang w:val="en-US"/>
        </w:rPr>
        <w:t xml:space="preserve">       </w:t>
      </w:r>
      <w:r>
        <w:rPr>
          <w:sz w:val="26"/>
          <w:szCs w:val="26"/>
        </w:rPr>
        <w:t xml:space="preserve">№ 484 «О ценообразовании в области обращения с т</w:t>
      </w:r>
      <w:r>
        <w:rPr>
          <w:sz w:val="26"/>
          <w:szCs w:val="26"/>
        </w:rPr>
        <w:t xml:space="preserve">вердыми коммунальными отходами»;</w:t>
      </w:r>
      <w:r>
        <w:rPr>
          <w:sz w:val="26"/>
          <w:szCs w:val="26"/>
        </w:rPr>
      </w:r>
      <w:r/>
    </w:p>
    <w:p>
      <w:pPr>
        <w:ind w:right="-1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приказа ФАС России от 21.11.2016 № 1638/16 «Об утверждении Методических указаний по расчету регулируемых тарифов в сфере обращения с твердыми коммунальными отходами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6"/>
          <w:szCs w:val="26"/>
          <w:highlight w:val="none"/>
        </w:rPr>
        <w:t xml:space="preserve">С учетом требований выше </w:t>
      </w:r>
      <w:r>
        <w:rPr>
          <w:color w:val="000000"/>
          <w:sz w:val="26"/>
          <w:szCs w:val="26"/>
          <w:highlight w:val="none"/>
        </w:rPr>
        <w:t xml:space="preserve">указанных </w:t>
      </w:r>
      <w:r>
        <w:rPr>
          <w:color w:val="000000"/>
          <w:sz w:val="26"/>
          <w:szCs w:val="26"/>
          <w:highlight w:val="none"/>
        </w:rPr>
        <w:t xml:space="preserve">нормативных правовых актов </w:t>
      </w:r>
      <w:r>
        <w:rPr>
          <w:color w:val="000000"/>
          <w:sz w:val="26"/>
          <w:szCs w:val="26"/>
          <w:highlight w:val="none"/>
        </w:rPr>
        <w:t xml:space="preserve">п</w:t>
      </w:r>
      <w:r>
        <w:rPr>
          <w:color w:val="000000"/>
          <w:sz w:val="26"/>
          <w:szCs w:val="26"/>
          <w:highlight w:val="none"/>
        </w:rPr>
        <w:t xml:space="preserve">рик</w:t>
      </w:r>
      <w:r>
        <w:rPr>
          <w:color w:val="000000"/>
          <w:sz w:val="26"/>
          <w:szCs w:val="26"/>
          <w:highlight w:val="none"/>
        </w:rPr>
        <w:t xml:space="preserve">азом РСТ Югры от 14.12.2023 № 132-нп «</w:t>
      </w:r>
      <w:r>
        <w:rPr>
          <w:color w:val="000000"/>
          <w:sz w:val="26"/>
          <w:szCs w:val="26"/>
          <w:highlight w:val="none"/>
        </w:rPr>
        <w:t xml:space="preserve">Об установлении предельного единого тарифа на услугу регионального оператора в области обращения с твердыми коммунальными отходами для акционерного общества «Югра-Экология</w:t>
      </w:r>
      <w:r>
        <w:rPr>
          <w:color w:val="000000"/>
          <w:sz w:val="26"/>
          <w:szCs w:val="26"/>
          <w:highlight w:val="none"/>
        </w:rPr>
        <w:t xml:space="preserve">»</w:t>
      </w:r>
      <w:r>
        <w:rPr>
          <w:color w:val="000000"/>
          <w:sz w:val="26"/>
          <w:szCs w:val="26"/>
          <w:highlight w:val="none"/>
        </w:rPr>
        <w:t xml:space="preserve"> (</w:t>
      </w:r>
      <w:r>
        <w:rPr>
          <w:color w:val="000000"/>
          <w:sz w:val="26"/>
          <w:szCs w:val="26"/>
          <w:highlight w:val="none"/>
        </w:rPr>
        <w:t xml:space="preserve">далее – приказ РСТ Югры № 132-нп</w:t>
      </w:r>
      <w:r>
        <w:rPr>
          <w:color w:val="000000"/>
          <w:sz w:val="26"/>
          <w:szCs w:val="26"/>
          <w:highlight w:val="none"/>
        </w:rPr>
        <w:t xml:space="preserve">) установлены единые тарифы на 2024 год по зонам деятельности регионального оператора</w:t>
      </w:r>
      <w:r>
        <w:rPr>
          <w:color w:val="000000"/>
          <w:sz w:val="26"/>
          <w:szCs w:val="26"/>
          <w:highlight w:val="none"/>
        </w:rPr>
        <w:t xml:space="preserve">. 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При этом в</w:t>
      </w:r>
      <w:r>
        <w:rPr>
          <w:sz w:val="26"/>
          <w:szCs w:val="26"/>
          <w:highlight w:val="none"/>
        </w:rPr>
        <w:t xml:space="preserve"> соответствии с п. 2 статьи 24.8 </w:t>
      </w:r>
      <w:r>
        <w:rPr>
          <w:sz w:val="26"/>
          <w:szCs w:val="26"/>
          <w:highlight w:val="none"/>
        </w:rPr>
        <w:t xml:space="preserve">Закона № 89-ФЗ </w:t>
      </w:r>
      <w:r>
        <w:rPr>
          <w:sz w:val="26"/>
          <w:szCs w:val="26"/>
          <w:highlight w:val="none"/>
        </w:rPr>
        <w:t xml:space="preserve">регулируемые виды деятельности в области обращения с ТКО </w:t>
      </w:r>
      <w:r>
        <w:rPr>
          <w:sz w:val="26"/>
          <w:szCs w:val="26"/>
          <w:highlight w:val="none"/>
        </w:rPr>
        <w:t xml:space="preserve">могут осуществля</w:t>
      </w:r>
      <w:r>
        <w:rPr>
          <w:sz w:val="26"/>
          <w:szCs w:val="26"/>
          <w:highlight w:val="none"/>
        </w:rPr>
        <w:t xml:space="preserve">т</w:t>
      </w:r>
      <w:r>
        <w:rPr>
          <w:sz w:val="26"/>
          <w:szCs w:val="26"/>
          <w:highlight w:val="none"/>
        </w:rPr>
        <w:t xml:space="preserve">ь</w:t>
      </w:r>
      <w:r>
        <w:rPr>
          <w:sz w:val="26"/>
          <w:szCs w:val="26"/>
          <w:highlight w:val="none"/>
        </w:rPr>
        <w:t xml:space="preserve">ся по ценам, которые определены соглашением сторон, но не должны превышать предельные тарифы на осуществление регулируемых видов деятельности в области обращения с ТКО, установленные органами </w:t>
      </w:r>
      <w:r>
        <w:rPr>
          <w:sz w:val="26"/>
          <w:szCs w:val="26"/>
          <w:highlight w:val="none"/>
        </w:rPr>
        <w:t xml:space="preserve">исполнительной власти субъектов Российской Федерации, уполномоченными в области регулирования тарифов. 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В связи с чем</w:t>
      </w:r>
      <w:r>
        <w:rPr>
          <w:sz w:val="26"/>
          <w:szCs w:val="26"/>
          <w:highlight w:val="none"/>
        </w:rPr>
        <w:t xml:space="preserve"> для населения, проживающего на территории муниципальных образований автономного округа,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в целях соблюдения </w:t>
      </w:r>
      <w:r>
        <w:rPr>
          <w:sz w:val="26"/>
          <w:szCs w:val="26"/>
          <w:highlight w:val="none"/>
        </w:rPr>
        <w:t xml:space="preserve">предельных (максимальных</w:t>
      </w:r>
      <w:r>
        <w:rPr>
          <w:sz w:val="26"/>
          <w:szCs w:val="26"/>
          <w:highlight w:val="none"/>
        </w:rPr>
        <w:t xml:space="preserve">) индекс</w:t>
      </w:r>
      <w:r>
        <w:rPr>
          <w:sz w:val="26"/>
          <w:szCs w:val="26"/>
          <w:highlight w:val="none"/>
        </w:rPr>
        <w:t xml:space="preserve">ов</w:t>
      </w:r>
      <w:r>
        <w:rPr>
          <w:sz w:val="26"/>
          <w:szCs w:val="26"/>
          <w:highlight w:val="none"/>
        </w:rPr>
        <w:t xml:space="preserve"> изменения размера вносимой гражданами платы за коммунальные услуги </w:t>
      </w:r>
      <w:r>
        <w:rPr>
          <w:sz w:val="26"/>
          <w:szCs w:val="26"/>
          <w:highlight w:val="none"/>
        </w:rPr>
        <w:t xml:space="preserve"> на 2024 год, </w:t>
      </w:r>
      <w:r>
        <w:rPr>
          <w:sz w:val="26"/>
          <w:szCs w:val="26"/>
          <w:highlight w:val="none"/>
        </w:rPr>
        <w:t xml:space="preserve">утве</w:t>
      </w:r>
      <w:r>
        <w:rPr>
          <w:sz w:val="26"/>
          <w:szCs w:val="26"/>
          <w:highlight w:val="none"/>
        </w:rPr>
        <w:t xml:space="preserve">ржденных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п</w:t>
      </w:r>
      <w:r>
        <w:rPr>
          <w:sz w:val="26"/>
          <w:szCs w:val="26"/>
          <w:highlight w:val="none"/>
        </w:rPr>
        <w:t xml:space="preserve">остановлением Губе</w:t>
      </w:r>
      <w:r>
        <w:rPr>
          <w:b w:val="0"/>
          <w:bCs w:val="0"/>
          <w:sz w:val="26"/>
          <w:szCs w:val="26"/>
          <w:highlight w:val="none"/>
        </w:rPr>
        <w:t xml:space="preserve">рнатора Ханты-Мансийского автономного округа – Югры от 11.12.2023 № 185,</w:t>
      </w:r>
      <w:r>
        <w:rPr>
          <w:b w:val="0"/>
          <w:bCs w:val="0"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единые тарифы </w:t>
      </w:r>
      <w:r>
        <w:rPr>
          <w:b w:val="0"/>
          <w:bCs w:val="0"/>
          <w:sz w:val="26"/>
          <w:szCs w:val="26"/>
          <w:highlight w:val="none"/>
        </w:rPr>
        <w:t xml:space="preserve">с 01.01.2024 по 30.06.2024</w:t>
      </w:r>
      <w:r>
        <w:rPr>
          <w:b w:val="0"/>
          <w:bCs w:val="0"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будут применяться </w:t>
      </w:r>
      <w:r>
        <w:rPr>
          <w:b w:val="0"/>
          <w:bCs w:val="0"/>
          <w:sz w:val="26"/>
          <w:szCs w:val="26"/>
          <w:highlight w:val="none"/>
        </w:rPr>
        <w:t xml:space="preserve">без роста, </w:t>
      </w:r>
      <w:r>
        <w:rPr>
          <w:b w:val="0"/>
          <w:bCs w:val="0"/>
          <w:sz w:val="26"/>
          <w:szCs w:val="26"/>
          <w:highlight w:val="none"/>
        </w:rPr>
        <w:t xml:space="preserve">с 01.07.2024</w:t>
      </w:r>
      <w:r>
        <w:rPr>
          <w:b w:val="0"/>
          <w:bCs w:val="0"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с ростом 9,6% к декабрю 2023 года</w:t>
      </w:r>
      <w:r>
        <w:rPr>
          <w:b w:val="0"/>
          <w:bCs w:val="0"/>
          <w:sz w:val="26"/>
          <w:szCs w:val="26"/>
          <w:highlight w:val="none"/>
        </w:rPr>
        <w:t xml:space="preserve">,</w:t>
      </w:r>
      <w:r>
        <w:rPr>
          <w:b w:val="0"/>
          <w:bCs w:val="0"/>
          <w:sz w:val="26"/>
          <w:szCs w:val="26"/>
          <w:highlight w:val="none"/>
        </w:rPr>
        <w:t xml:space="preserve"> </w:t>
      </w:r>
      <w:r>
        <w:rPr>
          <w:b w:val="0"/>
          <w:bCs w:val="0"/>
          <w:sz w:val="26"/>
          <w:szCs w:val="26"/>
          <w:highlight w:val="none"/>
        </w:rPr>
        <w:t xml:space="preserve">ниже </w:t>
      </w:r>
      <w:r>
        <w:rPr>
          <w:sz w:val="26"/>
          <w:szCs w:val="26"/>
          <w:highlight w:val="none"/>
        </w:rPr>
        <w:t xml:space="preserve">единых тарифов</w:t>
      </w:r>
      <w:r>
        <w:rPr>
          <w:sz w:val="26"/>
          <w:szCs w:val="26"/>
          <w:highlight w:val="none"/>
        </w:rPr>
        <w:t xml:space="preserve">,</w:t>
      </w:r>
      <w:r>
        <w:rPr>
          <w:b/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установленных приказом РСТ Югры № </w:t>
      </w:r>
      <w:r>
        <w:rPr>
          <w:sz w:val="26"/>
          <w:szCs w:val="26"/>
          <w:highlight w:val="none"/>
        </w:rPr>
        <w:t xml:space="preserve">132-нп</w:t>
      </w:r>
      <w:r>
        <w:rPr>
          <w:b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tabs>
          <w:tab w:val="left" w:pos="851" w:leader="none"/>
        </w:tabs>
        <w:rPr>
          <w:sz w:val="26"/>
          <w:szCs w:val="26"/>
          <w:highlight w:val="none"/>
          <w14:ligatures w14:val="none"/>
        </w:rPr>
      </w:pPr>
      <w:r>
        <w:rPr>
          <w:sz w:val="26"/>
          <w:szCs w:val="26"/>
          <w:highlight w:val="none"/>
        </w:rPr>
        <w:t xml:space="preserve">Е</w:t>
      </w:r>
      <w:r>
        <w:rPr>
          <w:sz w:val="26"/>
          <w:szCs w:val="26"/>
          <w:highlight w:val="none"/>
        </w:rPr>
        <w:t xml:space="preserve">диные тарифы для населения приняты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приказом регионального оператора по обращению с ТКО АО «Югра-Экология» от 15.12.2023 № 01-06-ЮЭ/0140 </w:t>
      </w:r>
      <w:r>
        <w:rPr>
          <w:sz w:val="26"/>
          <w:szCs w:val="26"/>
          <w:highlight w:val="none"/>
        </w:rPr>
        <w:t xml:space="preserve">«Об установлении цены для населения на 2024 год»</w:t>
      </w:r>
      <w:r>
        <w:rPr>
          <w:color w:val="000000"/>
          <w:sz w:val="26"/>
          <w:szCs w:val="26"/>
          <w:highlight w:val="none"/>
        </w:rPr>
        <w:t xml:space="preserve"> (</w:t>
      </w:r>
      <w:r>
        <w:rPr>
          <w:color w:val="000000"/>
          <w:sz w:val="26"/>
          <w:szCs w:val="26"/>
          <w:highlight w:val="none"/>
        </w:rPr>
        <w:t xml:space="preserve">далее – приказ </w:t>
      </w:r>
      <w:r>
        <w:rPr>
          <w:sz w:val="26"/>
          <w:szCs w:val="26"/>
          <w:highlight w:val="none"/>
        </w:rPr>
        <w:t xml:space="preserve">АО «Югра-Экология»</w:t>
      </w:r>
      <w:r>
        <w:rPr>
          <w:sz w:val="26"/>
          <w:szCs w:val="26"/>
          <w:highlight w:val="none"/>
        </w:rPr>
        <w:t xml:space="preserve"> № 01-06-ЮЭ/0140</w:t>
      </w:r>
      <w:r>
        <w:rPr>
          <w:color w:val="000000"/>
          <w:sz w:val="26"/>
          <w:szCs w:val="26"/>
          <w:highlight w:val="none"/>
        </w:rPr>
        <w:t xml:space="preserve">) на основании</w:t>
      </w:r>
      <w:r>
        <w:rPr>
          <w:sz w:val="26"/>
          <w:szCs w:val="26"/>
          <w:highlight w:val="none"/>
        </w:rPr>
        <w:t xml:space="preserve"> </w:t>
      </w:r>
      <w:r>
        <w:rPr>
          <w:sz w:val="26"/>
          <w:szCs w:val="26"/>
          <w:highlight w:val="none"/>
        </w:rPr>
        <w:t xml:space="preserve">п. 1 ст. 157.1 Ж</w:t>
      </w:r>
      <w:r>
        <w:rPr>
          <w:sz w:val="26"/>
          <w:szCs w:val="26"/>
          <w:highlight w:val="none"/>
        </w:rPr>
        <w:t xml:space="preserve">илищного кодекса Российской Федерации, п. 2 статьи 24.8 Закона № 89-ФЗ</w:t>
      </w:r>
      <w:r>
        <w:rPr>
          <w:sz w:val="26"/>
          <w:szCs w:val="26"/>
          <w:highlight w:val="none"/>
        </w:rPr>
        <w:t xml:space="preserve"> и приказ</w:t>
      </w:r>
      <w:r>
        <w:rPr>
          <w:sz w:val="26"/>
          <w:szCs w:val="26"/>
          <w:highlight w:val="none"/>
        </w:rPr>
        <w:t xml:space="preserve">а Департамента промышленности Ханты-Мансийского автономного округа – Югры от 28.02.2023 № 1-п «</w:t>
      </w:r>
      <w:r>
        <w:rPr>
          <w:sz w:val="26"/>
          <w:szCs w:val="26"/>
          <w:highlight w:val="none"/>
          <w:lang w:val="ru-RU" w:bidi="ru-RU"/>
        </w:rPr>
        <w:t xml:space="preserve">Об утверждении порядков предоставления субсидий из бюджета Ханты-Мансийского автономного округа - Югры юридическим лицам, осущес</w:t>
      </w:r>
      <w:r>
        <w:rPr>
          <w:sz w:val="26"/>
          <w:szCs w:val="26"/>
          <w:highlight w:val="none"/>
          <w:lang w:val="ru-RU" w:bidi="ru-RU"/>
        </w:rPr>
        <w:t xml:space="preserve">твляющим деятельность регионального оператора по обращению с твердыми коммунальными отходами, в целях возмещения недополученных доходов и части затрат, связанных с предоставлением населению коммунальных услуг по обращению с твердыми коммунальными отходам</w:t>
      </w:r>
      <w:r>
        <w:rPr>
          <w:sz w:val="26"/>
          <w:szCs w:val="26"/>
          <w:highlight w:val="none"/>
        </w:rPr>
        <w:t xml:space="preserve">»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  <w:highlight w:val="none"/>
        </w:rPr>
      </w:r>
      <w:r/>
    </w:p>
    <w:p>
      <w:pPr>
        <w:ind w:firstLine="709"/>
        <w:jc w:val="both"/>
        <w:spacing w:line="276" w:lineRule="auto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Информация об </w:t>
      </w:r>
      <w:r>
        <w:rPr>
          <w:sz w:val="26"/>
          <w:szCs w:val="26"/>
          <w:highlight w:val="none"/>
        </w:rPr>
        <w:t xml:space="preserve">установленных единых тарифах</w:t>
      </w:r>
      <w:r>
        <w:rPr>
          <w:sz w:val="26"/>
          <w:szCs w:val="26"/>
          <w:highlight w:val="none"/>
        </w:rPr>
        <w:t xml:space="preserve"> отражена в протоколе заседания правления РСТ Югры от 14.12.2023 № 65, размещенном на официальном сайте (</w:t>
      </w:r>
      <w:hyperlink r:id="rId21" w:tooltip="http://www.rst.admhmao.ru" w:history="1">
        <w:r>
          <w:rPr>
            <w:rStyle w:val="878"/>
            <w:sz w:val="26"/>
            <w:szCs w:val="26"/>
            <w:highlight w:val="none"/>
          </w:rPr>
          <w:t xml:space="preserve">http://www.rst.admhmao.ru</w:t>
        </w:r>
      </w:hyperlink>
      <w:r>
        <w:rPr>
          <w:sz w:val="26"/>
          <w:szCs w:val="26"/>
          <w:highlight w:val="none"/>
        </w:rPr>
        <w:t xml:space="preserve">) в разделе «Раскрытие информации», в подразделе «В области обращения с ТКО»/ «Информация о протоколах заседания правления»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/>
    </w:p>
    <w:p>
      <w:pPr>
        <w:ind w:firstLine="709"/>
        <w:jc w:val="both"/>
        <w:spacing w:line="276" w:lineRule="auto"/>
        <w:tabs>
          <w:tab w:val="left" w:pos="851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Размеры установленных экономически обоснованных единых тарифов и тарифов, которые будут применятся для населения представлены в таблице:</w:t>
      </w:r>
      <w:r>
        <w:rPr>
          <w:sz w:val="26"/>
          <w:szCs w:val="26"/>
        </w:rPr>
      </w:r>
      <w:r/>
    </w:p>
    <w:tbl>
      <w:tblPr>
        <w:tblStyle w:val="882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3793"/>
        <w:gridCol w:w="1134"/>
        <w:gridCol w:w="1134"/>
        <w:gridCol w:w="850"/>
        <w:gridCol w:w="1134"/>
        <w:gridCol w:w="1134"/>
        <w:gridCol w:w="742"/>
      </w:tblGrid>
      <w:tr>
        <w:trPr/>
        <w:tc>
          <w:tcPr>
            <w:tcW w:w="37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Наименование муниципального образования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Экономически обоснованный единый тариф по приказу РСТ Югры № 132-нп на 2024 год, руб./м3, с учетом НДС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tcW w:w="30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Единый тариф для населения по </w:t>
            </w:r>
            <w:r>
              <w:rPr>
                <w:color w:val="000000"/>
                <w:sz w:val="22"/>
                <w:szCs w:val="22"/>
                <w:highlight w:val="none"/>
              </w:rPr>
              <w:t xml:space="preserve">приказу </w:t>
            </w:r>
            <w:r>
              <w:rPr>
                <w:sz w:val="22"/>
                <w:szCs w:val="22"/>
                <w:highlight w:val="none"/>
              </w:rPr>
              <w:t xml:space="preserve">АО «Югра-Экология»</w:t>
            </w:r>
            <w:r>
              <w:rPr>
                <w:sz w:val="22"/>
                <w:szCs w:val="22"/>
                <w:highlight w:val="none"/>
              </w:rPr>
              <w:t xml:space="preserve">    № 01-06-ЮЭ/0140 </w:t>
            </w:r>
            <w:r>
              <w:rPr>
                <w:sz w:val="22"/>
                <w:szCs w:val="22"/>
                <w:highlight w:val="none"/>
              </w:rPr>
              <w:t xml:space="preserve">на 2024 год</w:t>
            </w:r>
            <w:r>
              <w:rPr>
                <w:sz w:val="22"/>
                <w:szCs w:val="22"/>
                <w:highlight w:val="none"/>
              </w:rPr>
              <w:t xml:space="preserve">, руб./м3, с учетом НДС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06"/>
        </w:trPr>
        <w:tc>
          <w:tcPr>
            <w:tcW w:w="379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 полугодие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 полугодие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рост,%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 полугодие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 полугодие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рост,%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Северная зона </w:t>
            </w:r>
            <w:r>
              <w:rPr>
                <w:sz w:val="22"/>
                <w:szCs w:val="22"/>
                <w:highlight w:val="none"/>
              </w:rPr>
              <w:t xml:space="preserve">на территории муниципальных образований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городских округов: Нижневартовск, Сургут, Когалым,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Мегион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Лангепас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, Радужный,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Покачи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, муниципальных районов: Белоярский, Березовски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й,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Нижневартовский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  <w:highlight w:val="none"/>
              </w:rPr>
              <w:t xml:space="preserve">Сургутский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821,57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946,85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  <w:highlight w:val="none"/>
              </w:rPr>
              <w:t xml:space="preserve">,25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821,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900,44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9,6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  <w:t xml:space="preserve">Южная зона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  <w:t xml:space="preserve">на территории муниципальных образований городских округов: Ханты-Мансийск, </w:t>
            </w:r>
            <w:r>
              <w:rPr>
                <w:sz w:val="22"/>
                <w:szCs w:val="22"/>
                <w:highlight w:val="none"/>
              </w:rPr>
              <w:t xml:space="preserve">Нефтеюганск</w:t>
            </w:r>
            <w:r>
              <w:rPr>
                <w:sz w:val="22"/>
                <w:szCs w:val="22"/>
                <w:highlight w:val="none"/>
              </w:rPr>
              <w:t xml:space="preserve">, </w:t>
            </w:r>
            <w:r>
              <w:rPr>
                <w:sz w:val="22"/>
                <w:szCs w:val="22"/>
                <w:highlight w:val="none"/>
              </w:rPr>
              <w:t xml:space="preserve">Нягань</w:t>
            </w:r>
            <w:r>
              <w:rPr>
                <w:sz w:val="22"/>
                <w:szCs w:val="22"/>
                <w:highlight w:val="none"/>
              </w:rPr>
              <w:t xml:space="preserve">, Пыть-Ях, Югорск, муниципальных районов: Октябрьский, Советский, </w:t>
            </w:r>
            <w:r>
              <w:rPr>
                <w:sz w:val="22"/>
                <w:szCs w:val="22"/>
                <w:highlight w:val="none"/>
              </w:rPr>
              <w:t xml:space="preserve">Нефтеюганский</w:t>
            </w:r>
            <w:r>
              <w:rPr>
                <w:sz w:val="22"/>
                <w:szCs w:val="22"/>
                <w:highlight w:val="none"/>
              </w:rPr>
              <w:t xml:space="preserve">, Ханты-Мансийский, </w:t>
            </w:r>
            <w:r>
              <w:rPr>
                <w:sz w:val="22"/>
                <w:szCs w:val="22"/>
                <w:highlight w:val="none"/>
              </w:rPr>
              <w:t xml:space="preserve">Кондинский, </w:t>
            </w:r>
            <w:r>
              <w:rPr>
                <w:sz w:val="22"/>
                <w:szCs w:val="22"/>
                <w:highlight w:val="none"/>
              </w:rPr>
              <w:t xml:space="preserve">в том числе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960,19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1076,95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  <w:t xml:space="preserve">12,16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832,19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912,08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9,6</w:t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3793" w:type="dxa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851" w:leader="none"/>
              </w:tabs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 территории муниципального образования городской округ </w:t>
            </w:r>
            <w:r>
              <w:rPr>
                <w:sz w:val="22"/>
                <w:szCs w:val="22"/>
                <w:highlight w:val="none"/>
              </w:rPr>
              <w:t xml:space="preserve">Урай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960,19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1076,95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12,16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645,14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707,07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9,6</w:t>
            </w:r>
            <w:r>
              <w:rPr>
                <w:sz w:val="22"/>
                <w:szCs w:val="22"/>
              </w:rPr>
            </w:r>
            <w:r/>
          </w:p>
        </w:tc>
      </w:tr>
    </w:tbl>
    <w:p>
      <w:pPr>
        <w:ind w:firstLine="709"/>
        <w:jc w:val="both"/>
        <w:spacing w:line="276" w:lineRule="auto"/>
        <w:tabs>
          <w:tab w:val="left" w:pos="851" w:leader="none"/>
        </w:tabs>
        <w:rPr>
          <w:b/>
          <w:bCs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18" w:right="1274" w:bottom="1134" w:left="15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/>
    <w:r/>
  </w:p>
  <w:p>
    <w:pPr>
      <w:pStyle w:val="8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</w:pPr>
    <w:r/>
    <w:r/>
  </w:p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1"/>
    <w:uiPriority w:val="34"/>
    <w:qFormat/>
    <w:pPr>
      <w:contextualSpacing/>
      <w:ind w:left="720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89"/>
    <w:uiPriority w:val="99"/>
  </w:style>
  <w:style w:type="character" w:styleId="726">
    <w:name w:val="Footer Char"/>
    <w:basedOn w:val="872"/>
    <w:link w:val="891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91"/>
    <w:uiPriority w:val="99"/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rPr>
      <w:sz w:val="24"/>
      <w:szCs w:val="24"/>
    </w:rPr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alloon Text"/>
    <w:basedOn w:val="871"/>
    <w:semiHidden/>
    <w:rPr>
      <w:rFonts w:ascii="Tahoma" w:hAnsi="Tahoma" w:cs="Tahoma"/>
      <w:sz w:val="16"/>
      <w:szCs w:val="16"/>
    </w:rPr>
  </w:style>
  <w:style w:type="paragraph" w:styleId="876" w:customStyle="1">
    <w:name w:val="Название1"/>
    <w:basedOn w:val="871"/>
    <w:link w:val="877"/>
    <w:qFormat/>
    <w:pPr>
      <w:jc w:val="center"/>
    </w:pPr>
    <w:rPr>
      <w:sz w:val="28"/>
      <w:szCs w:val="20"/>
    </w:rPr>
  </w:style>
  <w:style w:type="character" w:styleId="877" w:customStyle="1">
    <w:name w:val="Название Знак"/>
    <w:link w:val="876"/>
    <w:rPr>
      <w:sz w:val="28"/>
    </w:rPr>
  </w:style>
  <w:style w:type="character" w:styleId="878">
    <w:name w:val="Hyperlink"/>
    <w:rPr>
      <w:color w:val="0000ff"/>
      <w:u w:val="single"/>
    </w:rPr>
  </w:style>
  <w:style w:type="paragraph" w:styleId="879">
    <w:name w:val="Body Text"/>
    <w:basedOn w:val="871"/>
    <w:link w:val="880"/>
    <w:pPr>
      <w:spacing w:after="120"/>
    </w:pPr>
  </w:style>
  <w:style w:type="character" w:styleId="880" w:customStyle="1">
    <w:name w:val="Основной текст Знак"/>
    <w:link w:val="879"/>
    <w:rPr>
      <w:sz w:val="24"/>
      <w:szCs w:val="24"/>
    </w:rPr>
  </w:style>
  <w:style w:type="paragraph" w:styleId="881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</w:rPr>
  </w:style>
  <w:style w:type="table" w:styleId="882">
    <w:name w:val="Table Grid"/>
    <w:basedOn w:val="87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3">
    <w:name w:val="No Spacing"/>
    <w:uiPriority w:val="1"/>
    <w:qFormat/>
    <w:rPr>
      <w:sz w:val="24"/>
      <w:szCs w:val="24"/>
    </w:rPr>
  </w:style>
  <w:style w:type="character" w:styleId="884" w:customStyle="1">
    <w:name w:val="Основной текст (2)_"/>
    <w:link w:val="885"/>
    <w:rPr>
      <w:b/>
      <w:bCs/>
      <w:sz w:val="27"/>
      <w:szCs w:val="27"/>
      <w:shd w:val="clear" w:color="auto" w:fill="ffffff"/>
    </w:rPr>
  </w:style>
  <w:style w:type="paragraph" w:styleId="885" w:customStyle="1">
    <w:name w:val="Основной текст (2)"/>
    <w:basedOn w:val="871"/>
    <w:link w:val="884"/>
    <w:pPr>
      <w:ind w:firstLine="720"/>
      <w:jc w:val="both"/>
      <w:spacing w:before="300" w:line="331" w:lineRule="exact"/>
      <w:shd w:val="clear" w:color="auto" w:fill="ffffff"/>
    </w:pPr>
    <w:rPr>
      <w:b/>
      <w:bCs/>
      <w:sz w:val="27"/>
      <w:szCs w:val="27"/>
    </w:rPr>
  </w:style>
  <w:style w:type="character" w:styleId="886" w:customStyle="1">
    <w:name w:val="Заголовок №1_"/>
    <w:link w:val="887"/>
    <w:rPr>
      <w:b/>
      <w:bCs/>
      <w:sz w:val="27"/>
      <w:szCs w:val="27"/>
      <w:shd w:val="clear" w:color="auto" w:fill="ffffff"/>
    </w:rPr>
  </w:style>
  <w:style w:type="paragraph" w:styleId="887" w:customStyle="1">
    <w:name w:val="Заголовок №1"/>
    <w:basedOn w:val="871"/>
    <w:link w:val="886"/>
    <w:pPr>
      <w:ind w:firstLine="720"/>
      <w:jc w:val="both"/>
      <w:spacing w:before="180" w:line="317" w:lineRule="exact"/>
      <w:shd w:val="clear" w:color="auto" w:fill="ffffff"/>
      <w:outlineLvl w:val="0"/>
    </w:pPr>
    <w:rPr>
      <w:b/>
      <w:bCs/>
      <w:sz w:val="27"/>
      <w:szCs w:val="27"/>
    </w:rPr>
  </w:style>
  <w:style w:type="paragraph" w:styleId="888" w:customStyle="1">
    <w:name w:val="Default"/>
    <w:rPr>
      <w:color w:val="000000"/>
      <w:sz w:val="24"/>
      <w:szCs w:val="24"/>
    </w:rPr>
  </w:style>
  <w:style w:type="paragraph" w:styleId="889">
    <w:name w:val="Header"/>
    <w:basedOn w:val="871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872"/>
    <w:link w:val="889"/>
    <w:uiPriority w:val="99"/>
    <w:rPr>
      <w:sz w:val="24"/>
      <w:szCs w:val="24"/>
    </w:rPr>
  </w:style>
  <w:style w:type="paragraph" w:styleId="891">
    <w:name w:val="Footer"/>
    <w:basedOn w:val="871"/>
    <w:link w:val="8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872"/>
    <w:link w:val="891"/>
    <w:uiPriority w:val="99"/>
    <w:rPr>
      <w:sz w:val="24"/>
      <w:szCs w:val="24"/>
    </w:rPr>
  </w:style>
  <w:style w:type="paragraph" w:styleId="893" w:customStyle="1">
    <w:name w:val="ConsPlusNormal"/>
    <w:pPr>
      <w:widowControl w:val="off"/>
    </w:pPr>
    <w:rPr>
      <w:rFonts w:eastAsiaTheme="minorEastAsia"/>
      <w:sz w:val="24"/>
      <w:szCs w:val="24"/>
    </w:rPr>
  </w:style>
  <w:style w:type="paragraph" w:styleId="894">
    <w:name w:val="Normal (Web)"/>
    <w:basedOn w:val="871"/>
    <w:uiPriority w:val="99"/>
    <w:semiHidden/>
    <w:unhideWhenUsed/>
    <w:pPr>
      <w:spacing w:before="100" w:beforeAutospacing="1" w:after="100" w:afterAutospacing="1"/>
    </w:pPr>
  </w:style>
  <w:style w:type="character" w:styleId="895" w:customStyle="1">
    <w:name w:val="title_razdel"/>
  </w:style>
  <w:style w:type="character" w:styleId="896" w:customStyle="1">
    <w:name w:val="Гиперссылка"/>
    <w:rPr>
      <w:color w:val="0000ff"/>
      <w:u w:val="single"/>
    </w:rPr>
  </w:style>
  <w:style w:type="paragraph" w:styleId="897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admhmao.ru/dokumenty/pravovye-akty-gubernatora/9559393/" TargetMode="External"/><Relationship Id="rId14" Type="http://schemas.openxmlformats.org/officeDocument/2006/relationships/hyperlink" Target="http://bptr.eias.admhmao.ru/TariffDecisions?reg=RU.5.86" TargetMode="External"/><Relationship Id="rId15" Type="http://schemas.openxmlformats.org/officeDocument/2006/relationships/hyperlink" Target="https://rst.admhmao.ru/dokumenty/" TargetMode="External"/><Relationship Id="rId16" Type="http://schemas.openxmlformats.org/officeDocument/2006/relationships/hyperlink" Target="https://www.yugra-ecology.ru/calculator" TargetMode="External"/><Relationship Id="rId17" Type="http://schemas.openxmlformats.org/officeDocument/2006/relationships/hyperlink" Target="https://rec.admtyumen.ru/" TargetMode="External"/><Relationship Id="rId18" Type="http://schemas.openxmlformats.org/officeDocument/2006/relationships/hyperlink" Target="http://www.jsn.admhmao.ru/" TargetMode="External"/><Relationship Id="rId19" Type="http://schemas.openxmlformats.org/officeDocument/2006/relationships/hyperlink" Target="https://www.ds.admhmao.ru/" TargetMode="External"/><Relationship Id="rId20" Type="http://schemas.openxmlformats.org/officeDocument/2006/relationships/hyperlink" Target="https://depprom.admhmao.ru/" TargetMode="External"/><Relationship Id="rId21" Type="http://schemas.openxmlformats.org/officeDocument/2006/relationships/hyperlink" Target="http://www.rst.admhm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63A0-884D-4E51-B6F3-06FBB9DA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revision>19</cp:revision>
  <dcterms:created xsi:type="dcterms:W3CDTF">2023-11-22T04:38:00Z</dcterms:created>
  <dcterms:modified xsi:type="dcterms:W3CDTF">2024-01-30T06:38:15Z</dcterms:modified>
</cp:coreProperties>
</file>