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/>
    </w:p>
    <w:p>
      <w:pPr>
        <w:pStyle w:val="10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 нарушения обязательных требований</w:t>
      </w:r>
      <w:r/>
    </w:p>
    <w:p>
      <w:pPr>
        <w:pStyle w:val="1011"/>
        <w:jc w:val="center"/>
      </w:pPr>
      <w:r/>
      <w:r/>
    </w:p>
    <w:tbl>
      <w:tblPr>
        <w:tblStyle w:val="867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567"/>
        <w:gridCol w:w="2974"/>
        <w:gridCol w:w="567"/>
        <w:gridCol w:w="142"/>
        <w:gridCol w:w="567"/>
        <w:gridCol w:w="1844"/>
        <w:gridCol w:w="567"/>
        <w:gridCol w:w="1273"/>
        <w:gridCol w:w="567"/>
        <w:gridCol w:w="142"/>
        <w:gridCol w:w="567"/>
        <w:gridCol w:w="3519"/>
        <w:gridCol w:w="567"/>
      </w:tblGrid>
      <w:tr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</w:t>
            </w:r>
            <w:r/>
          </w:p>
        </w:tc>
        <w:tc>
          <w:tcPr>
            <w:gridSpan w:val="14"/>
            <w:tcW w:w="14003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информация по индикатору риска нарушения обязательных требований</w:t>
            </w:r>
            <w:r/>
          </w:p>
        </w:tc>
      </w:tr>
      <w:tr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</w:t>
            </w:r>
            <w:r/>
          </w:p>
        </w:tc>
        <w:tc>
          <w:tcPr>
            <w:gridSpan w:val="5"/>
            <w:tcW w:w="6094" w:type="dxa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органа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исполнительной власти, органа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местного самоуправления,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осуществляющего контрольную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(надзорную) деятельность,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ответственного за разработку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индикатора риска нарушения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обязательных требований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</w:t>
            </w:r>
            <w:r/>
          </w:p>
        </w:tc>
        <w:tc>
          <w:tcPr>
            <w:gridSpan w:val="6"/>
            <w:tcW w:w="6634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вида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государственного контроля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(надзора), муниципального контроля</w:t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W w:w="6802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Нижневартовска</w:t>
            </w:r>
            <w:r/>
          </w:p>
        </w:tc>
        <w:tc>
          <w:tcPr>
            <w:gridSpan w:val="7"/>
            <w:tcW w:w="7201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в сфере благоустройства</w:t>
            </w:r>
            <w:r/>
          </w:p>
        </w:tc>
      </w:tr>
      <w:tr>
        <w:trPr>
          <w:trHeight w:val="44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</w:t>
            </w:r>
            <w:r/>
          </w:p>
        </w:tc>
        <w:tc>
          <w:tcPr>
            <w:gridSpan w:val="12"/>
            <w:tcW w:w="13295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индикатора риска нарушения обязательных требований</w:t>
            </w:r>
            <w:r/>
          </w:p>
        </w:tc>
      </w:tr>
      <w:tr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4"/>
            <w:tcW w:w="14003" w:type="dxa"/>
            <w:textDirection w:val="lrTb"/>
            <w:noWrap w:val="false"/>
          </w:tcPr>
          <w:p>
            <w:pPr>
              <w:ind w:left="0" w:right="0" w:firstLine="54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Получение результатов работы средств фото-, 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нных правилами благоустройства.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</w:t>
            </w:r>
            <w:r/>
          </w:p>
        </w:tc>
        <w:tc>
          <w:tcPr>
            <w:gridSpan w:val="14"/>
            <w:tcW w:w="14003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Обязательные требования, о нарушении которых свидетельствует индикатор риска</w:t>
            </w:r>
            <w:r>
              <w:rPr>
                <w:rStyle w:val="996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2"/>
            </w:r>
            <w:r/>
          </w:p>
        </w:tc>
      </w:tr>
      <w:tr>
        <w:trPr>
          <w:gridAfter w:val="1"/>
        </w:trPr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/>
          </w:p>
        </w:tc>
        <w:tc>
          <w:tcPr>
            <w:gridSpan w:val="2"/>
            <w:tcW w:w="3541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Нормативный правовой акт, которым установлено обязательное требование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</w:t>
            </w:r>
            <w:r/>
          </w:p>
        </w:tc>
        <w:tc>
          <w:tcPr>
            <w:gridSpan w:val="4"/>
            <w:tcW w:w="4251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Структурная единица нормативного правового акта</w:t>
            </w:r>
            <w:r/>
          </w:p>
        </w:tc>
        <w:tc>
          <w:tcPr>
            <w:gridSpan w:val="2"/>
            <w:tcW w:w="7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</w:t>
            </w:r>
            <w:r/>
          </w:p>
        </w:tc>
        <w:tc>
          <w:tcPr>
            <w:gridSpan w:val="2"/>
            <w:tcW w:w="4086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Ссылка на ФГИС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РОТ</w:t>
            </w:r>
            <w:r>
              <w:rPr>
                <w:rStyle w:val="996"/>
                <w:rFonts w:ascii="Times New Roman" w:hAnsi="Times New Roman" w:cs="Times New Roman"/>
              </w:rPr>
              <w:footnoteReference w:id="3"/>
            </w:r>
            <w:r/>
          </w:p>
        </w:tc>
      </w:tr>
      <w:tr>
        <w:trPr>
          <w:gridAfter w:val="1"/>
          <w:trHeight w:val="1367"/>
        </w:trPr>
        <w:tc>
          <w:tcPr>
            <w:gridSpan w:val="4"/>
            <w:tcW w:w="425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4"/>
                <w:szCs w:val="24"/>
                <w:highlight w:val="white"/>
              </w:rPr>
              <w:t xml:space="preserve">Решение Думы города Нижневартовска от 18.09.2020 №667 "О Правилах благоустройства территории города Нижневартовска"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</w:r>
            <w:r/>
          </w:p>
        </w:tc>
        <w:tc>
          <w:tcPr>
            <w:gridSpan w:val="6"/>
            <w:tcW w:w="4959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24.1 раздела 24</w:t>
            </w:r>
            <w:r/>
          </w:p>
        </w:tc>
        <w:tc>
          <w:tcPr>
            <w:gridSpan w:val="4"/>
            <w:tcW w:w="4794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</w:t>
            </w:r>
            <w:r/>
          </w:p>
        </w:tc>
        <w:tc>
          <w:tcPr>
            <w:gridSpan w:val="14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Объект контроля</w:t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</w:t>
            </w:r>
            <w:r/>
          </w:p>
        </w:tc>
        <w:tc>
          <w:tcPr>
            <w:gridSpan w:val="2"/>
            <w:tcW w:w="3541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4"/>
            </w:r>
            <w:r/>
          </w:p>
        </w:tc>
        <w:tc>
          <w:tcPr>
            <w:gridSpan w:val="2"/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</w:t>
            </w:r>
            <w:r/>
          </w:p>
        </w:tc>
        <w:tc>
          <w:tcPr>
            <w:gridSpan w:val="4"/>
            <w:tcW w:w="4251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Вид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5"/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709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</w:t>
            </w:r>
            <w:r/>
          </w:p>
        </w:tc>
        <w:tc>
          <w:tcPr>
            <w:gridSpan w:val="2"/>
            <w:tcW w:w="4086" w:type="dxa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Подвид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6"/>
            </w:r>
            <w:r/>
          </w:p>
        </w:tc>
      </w:tr>
      <w:tr>
        <w:trPr>
          <w:trHeight w:val="166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5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  <w:br/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результаты деятельности граждан и организаций, в том числе работы и услуги, к которым предъявляются обязательные требования;</w:t>
            </w:r>
            <w:r/>
          </w:p>
          <w:p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вания</w:t>
            </w:r>
            <w:r/>
          </w:p>
        </w:tc>
        <w:tc>
          <w:tcPr>
            <w:gridSpan w:val="6"/>
            <w:tcW w:w="495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gridSpan w:val="4"/>
            <w:tcW w:w="4794" w:type="dxa"/>
            <w:textDirection w:val="lrTb"/>
            <w:noWrap w:val="false"/>
          </w:tcPr>
          <w:p>
            <w:r/>
            <w:r/>
          </w:p>
        </w:tc>
      </w:tr>
      <w:tr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495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Результаты деятельности граждан и организаций, в том числе работы и услуги, к которым предъявляются обязательные требования;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W w:w="4794" w:type="dxa"/>
            <w:textDirection w:val="lrTb"/>
            <w:noWrap w:val="false"/>
          </w:tcPr>
          <w:p>
            <w:r/>
            <w:r/>
          </w:p>
        </w:tc>
      </w:tr>
      <w:tr>
        <w:trPr>
          <w:trHeight w:val="42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495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4"/>
            <w:tcW w:w="4794" w:type="dxa"/>
            <w:textDirection w:val="lrTb"/>
            <w:noWrap w:val="false"/>
          </w:tcPr>
          <w:p>
            <w:r/>
            <w:r/>
          </w:p>
        </w:tc>
      </w:tr>
      <w:tr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</w:t>
            </w:r>
            <w:r/>
          </w:p>
        </w:tc>
        <w:tc>
          <w:tcPr>
            <w:gridSpan w:val="14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отклонения (соответствия) от установленных индикатором риска параметров</w:t>
            </w:r>
            <w:r/>
          </w:p>
        </w:tc>
      </w:tr>
      <w:tr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/>
          </w:p>
        </w:tc>
        <w:tc>
          <w:tcPr>
            <w:gridSpan w:val="12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расчета</w:t>
            </w:r>
            <w:r>
              <w:rPr>
                <w:rStyle w:val="996"/>
                <w:rFonts w:ascii="Times New Roman" w:hAnsi="Times New Roman" w:cs="Times New Roman"/>
              </w:rPr>
              <w:footnoteReference w:id="7"/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4"/>
            <w:tcW w:w="14003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месяц</w:t>
            </w:r>
            <w:r/>
          </w:p>
        </w:tc>
      </w:tr>
      <w:tr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</w:t>
            </w:r>
            <w:r/>
          </w:p>
        </w:tc>
        <w:tc>
          <w:tcPr>
            <w:gridSpan w:val="12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Формула расчета</w:t>
            </w:r>
            <w:r>
              <w:rPr>
                <w:rStyle w:val="996"/>
                <w:rFonts w:ascii="Times New Roman" w:hAnsi="Times New Roman" w:cs="Times New Roman"/>
              </w:rPr>
              <w:footnoteReference w:id="8"/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4"/>
            <w:tcW w:w="14003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 = A&gt;= 2</w:t>
            </w:r>
            <w:r/>
          </w:p>
        </w:tc>
      </w:tr>
      <w:tr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</w:t>
            </w:r>
            <w:r/>
          </w:p>
        </w:tc>
        <w:tc>
          <w:tcPr>
            <w:gridSpan w:val="12"/>
            <w:tcW w:w="13295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Расшифровка переменных</w:t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4.3.1</w:t>
            </w:r>
            <w:r/>
          </w:p>
        </w:tc>
        <w:tc>
          <w:tcPr>
            <w:gridSpan w:val="2"/>
            <w:tcW w:w="3541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Переменная</w:t>
            </w:r>
            <w:r>
              <w:rPr>
                <w:rStyle w:val="996"/>
                <w:rFonts w:ascii="Times New Roman" w:hAnsi="Times New Roman" w:cs="Times New Roman"/>
              </w:rPr>
              <w:footnoteReference w:id="9"/>
            </w:r>
            <w:r/>
          </w:p>
        </w:tc>
        <w:tc>
          <w:tcPr>
            <w:gridSpan w:val="2"/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4.3.2</w:t>
            </w:r>
            <w:r/>
          </w:p>
        </w:tc>
        <w:tc>
          <w:tcPr>
            <w:gridSpan w:val="4"/>
            <w:tcW w:w="4251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переменной</w:t>
            </w:r>
            <w:r>
              <w:rPr>
                <w:rStyle w:val="996"/>
                <w:rFonts w:ascii="Times New Roman" w:hAnsi="Times New Roman" w:cs="Times New Roman"/>
              </w:rPr>
              <w:footnoteReference w:id="10"/>
            </w:r>
            <w:r/>
          </w:p>
        </w:tc>
        <w:tc>
          <w:tcPr>
            <w:gridSpan w:val="2"/>
            <w:tcW w:w="709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4.3.3</w:t>
            </w:r>
            <w:r/>
          </w:p>
        </w:tc>
        <w:tc>
          <w:tcPr>
            <w:gridSpan w:val="2"/>
            <w:tcW w:w="4086" w:type="dxa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Источник получения данных</w:t>
            </w:r>
            <w:r>
              <w:rPr>
                <w:rStyle w:val="996"/>
                <w:rFonts w:ascii="Times New Roman" w:hAnsi="Times New Roman" w:cs="Times New Roman"/>
              </w:rPr>
              <w:footnoteReference w:id="11"/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</w:t>
            </w:r>
            <w:r/>
          </w:p>
        </w:tc>
        <w:tc>
          <w:tcPr>
            <w:gridSpan w:val="6"/>
            <w:tcW w:w="495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</w:t>
            </w:r>
            <w:r/>
          </w:p>
        </w:tc>
        <w:tc>
          <w:tcPr>
            <w:gridSpan w:val="4"/>
            <w:tcW w:w="4794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отдела муниципального контроля в сфере благоустройства и городских лесов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муниципального контроля администрации города Нижневартовска, полученные в том числе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порядке межведомственного информационного взаимодействия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</w:t>
            </w:r>
            <w:r/>
          </w:p>
        </w:tc>
        <w:tc>
          <w:tcPr>
            <w:gridSpan w:val="6"/>
            <w:tcW w:w="4959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фактов несоответствия </w:t>
            </w:r>
            <w:r>
              <w:rPr>
                <w:rFonts w:ascii="Times New Roman" w:hAnsi="Times New Roman" w:cs="Times New Roman"/>
              </w:rPr>
              <w:t xml:space="preserve">больше 1 за 1 месяц</w:t>
            </w:r>
            <w:r/>
          </w:p>
        </w:tc>
        <w:tc>
          <w:tcPr>
            <w:gridSpan w:val="4"/>
            <w:tcW w:w="4794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отдела муниципального контроля в сфере благоустройства и городских лесов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муниципального контроля администрации города Нижневартовска, полученные в том числе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порядке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</w:t>
            </w:r>
            <w:r/>
          </w:p>
        </w:tc>
        <w:tc>
          <w:tcPr>
            <w:gridSpan w:val="14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 проведении контрольного (надзорного) мероприятия</w:t>
            </w:r>
            <w:r/>
          </w:p>
        </w:tc>
      </w:tr>
      <w:tr>
        <w:trPr>
          <w:trHeight w:val="1315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</w:t>
            </w:r>
            <w:r/>
          </w:p>
        </w:tc>
        <w:tc>
          <w:tcPr>
            <w:gridSpan w:val="8"/>
            <w:tcW w:w="850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Правоустанавливающие и иные документы, подтверждающие индивидуализирующие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признаки проверяемого объекта и его принадлежность контролируемому лицу</w:t>
            </w:r>
            <w:r>
              <w:rPr>
                <w:rStyle w:val="996"/>
                <w:rFonts w:ascii="Times New Roman" w:hAnsi="Times New Roman" w:cs="Times New Roman"/>
              </w:rPr>
              <w:footnoteReference w:id="12"/>
            </w:r>
            <w:r/>
          </w:p>
        </w:tc>
        <w:tc>
          <w:tcPr>
            <w:gridSpan w:val="4"/>
            <w:tcW w:w="479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 Выписка из </w:t>
            </w:r>
            <w:r>
              <w:rPr>
                <w:rFonts w:ascii="Times New Roman" w:hAnsi="Times New Roman" w:cs="Times New Roman"/>
              </w:rPr>
              <w:t xml:space="preserve">Единого государственного реестра недвижимости;</w:t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  <w:t xml:space="preserve">Карточки учета транспортных средств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155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</w:t>
            </w:r>
            <w:r/>
          </w:p>
        </w:tc>
        <w:tc>
          <w:tcPr>
            <w:gridSpan w:val="8"/>
            <w:tcW w:w="850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996"/>
                <w:rFonts w:ascii="Times New Roman" w:hAnsi="Times New Roman" w:cs="Times New Roman"/>
              </w:rPr>
              <w:footnoteReference w:id="13"/>
            </w:r>
            <w:r/>
          </w:p>
        </w:tc>
        <w:tc>
          <w:tcPr>
            <w:gridSpan w:val="4"/>
            <w:tcW w:w="479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работы средств фото-, видеофиксации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имеющиеся в распоряжении отдела муниципального контроля в сфере благоустройства и городских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муниципального контроля администрации города Нижневартовска,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том числе  полученные в порядке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</w:t>
            </w:r>
            <w:r/>
          </w:p>
        </w:tc>
        <w:tc>
          <w:tcPr>
            <w:gridSpan w:val="8"/>
            <w:tcW w:w="850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без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взаимодействия и/или профилактических мероприятий, в случае если такие мероприятия проводились</w:t>
            </w:r>
            <w:r>
              <w:rPr>
                <w:rStyle w:val="996"/>
                <w:rFonts w:ascii="Times New Roman" w:hAnsi="Times New Roman" w:cs="Times New Roman"/>
              </w:rPr>
              <w:footnoteReference w:id="14"/>
            </w:r>
            <w:r/>
          </w:p>
        </w:tc>
        <w:tc>
          <w:tcPr>
            <w:gridSpan w:val="4"/>
            <w:tcW w:w="47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Предостережение</w:t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8"/>
            <w:tcW w:w="8500" w:type="dxa"/>
            <w:vAlign w:val="center"/>
            <w:vMerge w:val="continue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4"/>
            <w:tcW w:w="47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Акт обязательного профилактического визита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85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7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выездного обследования без взаимодействия.</w:t>
            </w:r>
            <w:r/>
          </w:p>
        </w:tc>
      </w:tr>
      <w:tr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850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7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наблюдения за соблюдением обязательных требований.</w:t>
            </w:r>
            <w:r/>
          </w:p>
        </w:tc>
      </w:tr>
      <w:tr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</w:t>
            </w:r>
            <w:r/>
          </w:p>
        </w:tc>
        <w:tc>
          <w:tcPr>
            <w:gridSpan w:val="8"/>
            <w:tcW w:w="850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Иные документы, подтверждающие необходимость проведения внепланового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мероприятия</w:t>
            </w:r>
            <w:r>
              <w:rPr>
                <w:rStyle w:val="996"/>
                <w:rFonts w:ascii="Times New Roman" w:hAnsi="Times New Roman" w:cs="Times New Roman"/>
              </w:rPr>
              <w:footnoteReference w:id="15"/>
            </w:r>
            <w:r/>
          </w:p>
        </w:tc>
        <w:tc>
          <w:tcPr>
            <w:gridSpan w:val="4"/>
            <w:tcW w:w="4794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/>
          </w:p>
        </w:tc>
        <w:tc>
          <w:tcPr>
            <w:gridSpan w:val="14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проведения контрольного (надзорного) мероприятия</w:t>
            </w:r>
            <w:r/>
          </w:p>
        </w:tc>
      </w:tr>
      <w:tr>
        <w:trPr>
          <w:trHeight w:val="130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</w:t>
            </w:r>
            <w:r/>
          </w:p>
        </w:tc>
        <w:tc>
          <w:tcPr>
            <w:gridSpan w:val="8"/>
            <w:tcW w:w="850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контрольных (надзорных) мероприятий</w:t>
            </w:r>
            <w:r>
              <w:rPr>
                <w:rStyle w:val="996"/>
                <w:rFonts w:ascii="Times New Roman" w:hAnsi="Times New Roman" w:cs="Times New Roman"/>
              </w:rPr>
              <w:footnoteReference w:id="16"/>
            </w:r>
            <w:r/>
          </w:p>
        </w:tc>
        <w:tc>
          <w:tcPr>
            <w:gridSpan w:val="4"/>
            <w:tcW w:w="479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Профилактические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со взаимодействием с контролируемым лицом;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без взаимодействия с контролируемым лицом.</w:t>
            </w:r>
            <w:r/>
          </w:p>
        </w:tc>
      </w:tr>
      <w:tr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</w:t>
            </w:r>
            <w:r/>
          </w:p>
        </w:tc>
        <w:tc>
          <w:tcPr>
            <w:gridSpan w:val="8"/>
            <w:tcW w:w="850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996"/>
                <w:rFonts w:ascii="Times New Roman" w:hAnsi="Times New Roman" w:cs="Times New Roman"/>
              </w:rPr>
              <w:footnoteReference w:id="17"/>
            </w:r>
            <w:r/>
          </w:p>
        </w:tc>
        <w:tc>
          <w:tcPr>
            <w:gridSpan w:val="4"/>
            <w:tcW w:w="479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/>
          </w:p>
        </w:tc>
      </w:tr>
      <w:tr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</w:t>
            </w:r>
            <w:r/>
          </w:p>
        </w:tc>
        <w:tc>
          <w:tcPr>
            <w:gridSpan w:val="8"/>
            <w:tcW w:w="8500" w:type="dxa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в личном</w:t>
            </w:r>
            <w:r/>
          </w:p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органа</w:t>
            </w:r>
            <w:r>
              <w:rPr>
                <w:rStyle w:val="996"/>
                <w:rFonts w:ascii="Times New Roman" w:hAnsi="Times New Roman" w:cs="Times New Roman"/>
              </w:rPr>
              <w:footnoteReference w:id="18"/>
            </w:r>
            <w:r/>
          </w:p>
        </w:tc>
        <w:tc>
          <w:tcPr>
            <w:gridSpan w:val="4"/>
            <w:tcW w:w="4794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</w:tr>
    </w:tbl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Паспорт подготовлен:</w:t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начальник отдела контроля в  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  <w:t xml:space="preserve">сфере благоустройства и городских 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лесов </w:t>
      </w:r>
      <w:r>
        <w:rPr>
          <w:rFonts w:ascii="Times New Roman" w:hAnsi="Times New Roman" w:cs="Times New Roman"/>
          <w:b/>
          <w:bCs/>
          <w:u w:val="single"/>
        </w:rPr>
        <w:t xml:space="preserve">управления</w:t>
      </w:r>
      <w:r>
        <w:rPr>
          <w:rFonts w:ascii="Times New Roman" w:hAnsi="Times New Roman" w:cs="Times New Roman"/>
          <w:b/>
          <w:bCs/>
          <w:u w:val="single"/>
        </w:rPr>
        <w:t xml:space="preserve"> муниципального контроля 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администрации </w:t>
      </w:r>
      <w:r>
        <w:rPr>
          <w:rFonts w:ascii="Times New Roman" w:hAnsi="Times New Roman" w:cs="Times New Roman"/>
          <w:b/>
          <w:bCs/>
          <w:u w:val="single"/>
        </w:rPr>
        <w:t xml:space="preserve">города Нижневартовска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Мантурова Людмила Александровна</w:t>
      </w:r>
      <w:r/>
    </w:p>
    <w:p>
      <w:pPr>
        <w:pStyle w:val="101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ФИО ответственного лица)</w:t>
      </w:r>
      <w:r/>
    </w:p>
    <w:p>
      <w:pPr>
        <w:pStyle w:val="10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ел.:8(3466) 43-41-31 (доб. 28752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)</w:t>
      </w:r>
      <w:r/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</w:t>
      </w:r>
      <w:r>
        <w:rPr>
          <w:rFonts w:ascii="Times New Roman" w:hAnsi="Times New Roman" w:cs="Times New Roman"/>
        </w:rPr>
        <w:t xml:space="preserve">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  <w:r/>
    </w:p>
  </w:footnote>
  <w:footnote w:id="3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  <w:r/>
    </w:p>
  </w:footnote>
  <w:footnote w:id="4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</w:t>
      </w:r>
      <w:r>
        <w:rPr>
          <w:rFonts w:ascii="Times New Roman" w:hAnsi="Times New Roman" w:cs="Times New Roman"/>
        </w:rPr>
        <w:t xml:space="preserve">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</w:t>
      </w:r>
      <w:r>
        <w:rPr>
          <w:rFonts w:ascii="Times New Roman" w:hAnsi="Times New Roman" w:cs="Times New Roman"/>
        </w:rPr>
        <w:t xml:space="preserve">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</w:t>
      </w:r>
      <w:r>
        <w:rPr>
          <w:rFonts w:ascii="Times New Roman" w:hAnsi="Times New Roman" w:cs="Times New Roman"/>
        </w:rPr>
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r/>
    </w:p>
  </w:footnote>
  <w:footnote w:id="5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  <w:r/>
    </w:p>
  </w:footnote>
  <w:footnote w:id="6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  <w:r/>
    </w:p>
  </w:footnote>
  <w:footnote w:id="7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  <w:r/>
    </w:p>
  </w:footnote>
  <w:footnote w:id="8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  <w:r/>
    </w:p>
  </w:footnote>
  <w:footnote w:id="9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  <w:r/>
    </w:p>
  </w:footnote>
  <w:footnote w:id="10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  <w:r/>
    </w:p>
  </w:footnote>
  <w:footnote w:id="11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</w:t>
      </w:r>
      <w:r>
        <w:rPr>
          <w:rFonts w:ascii="Times New Roman" w:hAnsi="Times New Roman" w:cs="Times New Roman"/>
        </w:rPr>
        <w:t xml:space="preserve">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  <w:r/>
    </w:p>
  </w:footnote>
  <w:footnote w:id="12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</w:t>
      </w:r>
      <w:r>
        <w:rPr>
          <w:rFonts w:ascii="Times New Roman" w:hAnsi="Times New Roman" w:cs="Times New Roman"/>
        </w:rPr>
        <w:t xml:space="preserve">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  <w:r/>
    </w:p>
  </w:footnote>
  <w:footnote w:id="13">
    <w:p>
      <w:pPr>
        <w:pStyle w:val="994"/>
        <w:jc w:val="both"/>
        <w:rPr>
          <w:rFonts w:ascii="Times New Roman" w:hAnsi="Times New Roman" w:cs="Times New Roman"/>
          <w:szCs w:val="18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  <w:r/>
    </w:p>
  </w:footnote>
  <w:footnote w:id="14">
    <w:p>
      <w:pPr>
        <w:pStyle w:val="1011"/>
        <w:jc w:val="both"/>
        <w:rPr>
          <w:sz w:val="18"/>
          <w:szCs w:val="18"/>
        </w:rPr>
      </w:pPr>
      <w:r>
        <w:rPr>
          <w:rStyle w:val="996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  <w:r/>
    </w:p>
  </w:footnote>
  <w:footnote w:id="15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  <w:r/>
    </w:p>
  </w:footnote>
  <w:footnote w:id="16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 xml:space="preserve">риска.</w:t>
      </w:r>
      <w:r/>
    </w:p>
  </w:footnote>
  <w:footnote w:id="17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  <w:r/>
    </w:p>
  </w:footnote>
  <w:footnote w:id="18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</w:t>
      </w:r>
      <w:r>
        <w:rPr>
          <w:rFonts w:ascii="Times New Roman" w:hAnsi="Times New Roman" w:cs="Times New Roman"/>
        </w:rPr>
        <w:t xml:space="preserve">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4">
    <w:name w:val="Heading 1 Char"/>
    <w:basedOn w:val="841"/>
    <w:link w:val="832"/>
    <w:uiPriority w:val="9"/>
    <w:rPr>
      <w:rFonts w:ascii="Arial" w:hAnsi="Arial" w:eastAsia="Arial" w:cs="Arial"/>
      <w:sz w:val="40"/>
      <w:szCs w:val="40"/>
    </w:rPr>
  </w:style>
  <w:style w:type="character" w:styleId="815">
    <w:name w:val="Heading 2 Char"/>
    <w:basedOn w:val="841"/>
    <w:link w:val="833"/>
    <w:uiPriority w:val="9"/>
    <w:rPr>
      <w:rFonts w:ascii="Arial" w:hAnsi="Arial" w:eastAsia="Arial" w:cs="Arial"/>
      <w:sz w:val="34"/>
    </w:rPr>
  </w:style>
  <w:style w:type="character" w:styleId="816">
    <w:name w:val="Heading 3 Char"/>
    <w:basedOn w:val="841"/>
    <w:link w:val="834"/>
    <w:uiPriority w:val="9"/>
    <w:rPr>
      <w:rFonts w:ascii="Arial" w:hAnsi="Arial" w:eastAsia="Arial" w:cs="Arial"/>
      <w:sz w:val="30"/>
      <w:szCs w:val="30"/>
    </w:rPr>
  </w:style>
  <w:style w:type="character" w:styleId="817">
    <w:name w:val="Heading 4 Char"/>
    <w:basedOn w:val="841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18">
    <w:name w:val="Heading 5 Char"/>
    <w:basedOn w:val="841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819">
    <w:name w:val="Heading 6 Char"/>
    <w:basedOn w:val="841"/>
    <w:link w:val="837"/>
    <w:uiPriority w:val="9"/>
    <w:rPr>
      <w:rFonts w:ascii="Arial" w:hAnsi="Arial" w:eastAsia="Arial" w:cs="Arial"/>
      <w:b/>
      <w:bCs/>
      <w:sz w:val="22"/>
      <w:szCs w:val="22"/>
    </w:rPr>
  </w:style>
  <w:style w:type="character" w:styleId="820">
    <w:name w:val="Heading 7 Char"/>
    <w:basedOn w:val="841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>
    <w:name w:val="Heading 8 Char"/>
    <w:basedOn w:val="841"/>
    <w:link w:val="839"/>
    <w:uiPriority w:val="9"/>
    <w:rPr>
      <w:rFonts w:ascii="Arial" w:hAnsi="Arial" w:eastAsia="Arial" w:cs="Arial"/>
      <w:i/>
      <w:iCs/>
      <w:sz w:val="22"/>
      <w:szCs w:val="22"/>
    </w:rPr>
  </w:style>
  <w:style w:type="character" w:styleId="822">
    <w:name w:val="Heading 9 Char"/>
    <w:basedOn w:val="841"/>
    <w:link w:val="840"/>
    <w:uiPriority w:val="9"/>
    <w:rPr>
      <w:rFonts w:ascii="Arial" w:hAnsi="Arial" w:eastAsia="Arial" w:cs="Arial"/>
      <w:i/>
      <w:iCs/>
      <w:sz w:val="21"/>
      <w:szCs w:val="21"/>
    </w:rPr>
  </w:style>
  <w:style w:type="character" w:styleId="823">
    <w:name w:val="Title Char"/>
    <w:basedOn w:val="841"/>
    <w:link w:val="853"/>
    <w:uiPriority w:val="10"/>
    <w:rPr>
      <w:sz w:val="48"/>
      <w:szCs w:val="48"/>
    </w:rPr>
  </w:style>
  <w:style w:type="character" w:styleId="824">
    <w:name w:val="Subtitle Char"/>
    <w:basedOn w:val="841"/>
    <w:link w:val="855"/>
    <w:uiPriority w:val="11"/>
    <w:rPr>
      <w:sz w:val="24"/>
      <w:szCs w:val="24"/>
    </w:rPr>
  </w:style>
  <w:style w:type="character" w:styleId="825">
    <w:name w:val="Quote Char"/>
    <w:link w:val="857"/>
    <w:uiPriority w:val="29"/>
    <w:rPr>
      <w:i/>
    </w:rPr>
  </w:style>
  <w:style w:type="character" w:styleId="826">
    <w:name w:val="Intense Quote Char"/>
    <w:link w:val="859"/>
    <w:uiPriority w:val="30"/>
    <w:rPr>
      <w:i/>
    </w:rPr>
  </w:style>
  <w:style w:type="character" w:styleId="827">
    <w:name w:val="Header Char"/>
    <w:basedOn w:val="841"/>
    <w:link w:val="861"/>
    <w:uiPriority w:val="99"/>
  </w:style>
  <w:style w:type="character" w:styleId="828">
    <w:name w:val="Caption Char"/>
    <w:basedOn w:val="865"/>
    <w:link w:val="863"/>
    <w:uiPriority w:val="99"/>
  </w:style>
  <w:style w:type="character" w:styleId="829">
    <w:name w:val="Footnote Text Char"/>
    <w:link w:val="994"/>
    <w:uiPriority w:val="99"/>
    <w:rPr>
      <w:sz w:val="18"/>
    </w:rPr>
  </w:style>
  <w:style w:type="character" w:styleId="830">
    <w:name w:val="Endnote Text Char"/>
    <w:link w:val="997"/>
    <w:uiPriority w:val="99"/>
    <w:rPr>
      <w:sz w:val="20"/>
    </w:r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4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33">
    <w:name w:val="Heading 2"/>
    <w:basedOn w:val="831"/>
    <w:next w:val="831"/>
    <w:link w:val="84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34">
    <w:name w:val="Heading 3"/>
    <w:basedOn w:val="831"/>
    <w:next w:val="831"/>
    <w:link w:val="84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35">
    <w:name w:val="Heading 4"/>
    <w:basedOn w:val="831"/>
    <w:next w:val="831"/>
    <w:link w:val="84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31"/>
    <w:next w:val="831"/>
    <w:link w:val="84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831"/>
    <w:next w:val="831"/>
    <w:link w:val="84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38">
    <w:name w:val="Heading 7"/>
    <w:basedOn w:val="831"/>
    <w:next w:val="831"/>
    <w:link w:val="85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39">
    <w:name w:val="Heading 8"/>
    <w:basedOn w:val="831"/>
    <w:next w:val="831"/>
    <w:link w:val="85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40">
    <w:name w:val="Heading 9"/>
    <w:basedOn w:val="831"/>
    <w:next w:val="831"/>
    <w:link w:val="85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character" w:styleId="844" w:customStyle="1">
    <w:name w:val="Заголовок 1 Знак"/>
    <w:link w:val="832"/>
    <w:uiPriority w:val="9"/>
    <w:rPr>
      <w:rFonts w:ascii="Arial" w:hAnsi="Arial" w:eastAsia="Arial" w:cs="Arial"/>
      <w:sz w:val="40"/>
      <w:szCs w:val="40"/>
    </w:rPr>
  </w:style>
  <w:style w:type="character" w:styleId="845" w:customStyle="1">
    <w:name w:val="Заголовок 2 Знак"/>
    <w:link w:val="833"/>
    <w:uiPriority w:val="9"/>
    <w:rPr>
      <w:rFonts w:ascii="Arial" w:hAnsi="Arial" w:eastAsia="Arial" w:cs="Arial"/>
      <w:sz w:val="34"/>
    </w:rPr>
  </w:style>
  <w:style w:type="character" w:styleId="846" w:customStyle="1">
    <w:name w:val="Заголовок 3 Знак"/>
    <w:link w:val="834"/>
    <w:uiPriority w:val="9"/>
    <w:rPr>
      <w:rFonts w:ascii="Arial" w:hAnsi="Arial" w:eastAsia="Arial" w:cs="Arial"/>
      <w:sz w:val="30"/>
      <w:szCs w:val="30"/>
    </w:rPr>
  </w:style>
  <w:style w:type="character" w:styleId="847" w:customStyle="1">
    <w:name w:val="Заголовок 4 Знак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48" w:customStyle="1">
    <w:name w:val="Заголовок 5 Знак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849" w:customStyle="1">
    <w:name w:val="Заголовок 6 Знак"/>
    <w:link w:val="837"/>
    <w:uiPriority w:val="9"/>
    <w:rPr>
      <w:rFonts w:ascii="Arial" w:hAnsi="Arial" w:eastAsia="Arial" w:cs="Arial"/>
      <w:b/>
      <w:bCs/>
      <w:sz w:val="22"/>
      <w:szCs w:val="22"/>
    </w:rPr>
  </w:style>
  <w:style w:type="character" w:styleId="850" w:customStyle="1">
    <w:name w:val="Заголовок 7 Знак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1" w:customStyle="1">
    <w:name w:val="Заголовок 8 Знак"/>
    <w:link w:val="839"/>
    <w:uiPriority w:val="9"/>
    <w:rPr>
      <w:rFonts w:ascii="Arial" w:hAnsi="Arial" w:eastAsia="Arial" w:cs="Arial"/>
      <w:i/>
      <w:iCs/>
      <w:sz w:val="22"/>
      <w:szCs w:val="22"/>
    </w:rPr>
  </w:style>
  <w:style w:type="character" w:styleId="852" w:customStyle="1">
    <w:name w:val="Заголовок 9 Знак"/>
    <w:link w:val="840"/>
    <w:uiPriority w:val="9"/>
    <w:rPr>
      <w:rFonts w:ascii="Arial" w:hAnsi="Arial" w:eastAsia="Arial" w:cs="Arial"/>
      <w:i/>
      <w:iCs/>
      <w:sz w:val="21"/>
      <w:szCs w:val="21"/>
    </w:rPr>
  </w:style>
  <w:style w:type="paragraph" w:styleId="853">
    <w:name w:val="Title"/>
    <w:basedOn w:val="831"/>
    <w:next w:val="831"/>
    <w:link w:val="854"/>
    <w:uiPriority w:val="10"/>
    <w:qFormat/>
    <w:pPr>
      <w:contextualSpacing/>
      <w:spacing w:before="300"/>
    </w:pPr>
    <w:rPr>
      <w:sz w:val="48"/>
      <w:szCs w:val="48"/>
    </w:rPr>
  </w:style>
  <w:style w:type="character" w:styleId="854" w:customStyle="1">
    <w:name w:val="Заголовок Знак"/>
    <w:link w:val="853"/>
    <w:uiPriority w:val="10"/>
    <w:rPr>
      <w:sz w:val="48"/>
      <w:szCs w:val="48"/>
    </w:rPr>
  </w:style>
  <w:style w:type="paragraph" w:styleId="855">
    <w:name w:val="Subtitle"/>
    <w:basedOn w:val="831"/>
    <w:next w:val="831"/>
    <w:link w:val="856"/>
    <w:uiPriority w:val="11"/>
    <w:qFormat/>
    <w:pPr>
      <w:spacing w:before="200"/>
    </w:pPr>
    <w:rPr>
      <w:sz w:val="24"/>
      <w:szCs w:val="24"/>
    </w:rPr>
  </w:style>
  <w:style w:type="character" w:styleId="856" w:customStyle="1">
    <w:name w:val="Подзаголовок Знак"/>
    <w:link w:val="855"/>
    <w:uiPriority w:val="11"/>
    <w:rPr>
      <w:sz w:val="24"/>
      <w:szCs w:val="24"/>
    </w:rPr>
  </w:style>
  <w:style w:type="paragraph" w:styleId="857">
    <w:name w:val="Quote"/>
    <w:basedOn w:val="831"/>
    <w:next w:val="831"/>
    <w:link w:val="858"/>
    <w:uiPriority w:val="29"/>
    <w:qFormat/>
    <w:pPr>
      <w:ind w:left="720" w:right="720"/>
    </w:pPr>
    <w:rPr>
      <w:i/>
    </w:rPr>
  </w:style>
  <w:style w:type="character" w:styleId="858" w:customStyle="1">
    <w:name w:val="Цитата 2 Знак"/>
    <w:link w:val="857"/>
    <w:uiPriority w:val="29"/>
    <w:rPr>
      <w:i/>
    </w:rPr>
  </w:style>
  <w:style w:type="paragraph" w:styleId="859">
    <w:name w:val="Intense Quote"/>
    <w:basedOn w:val="831"/>
    <w:next w:val="831"/>
    <w:link w:val="8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0" w:customStyle="1">
    <w:name w:val="Выделенная цитата Знак"/>
    <w:link w:val="859"/>
    <w:uiPriority w:val="30"/>
    <w:rPr>
      <w:i/>
    </w:rPr>
  </w:style>
  <w:style w:type="paragraph" w:styleId="861">
    <w:name w:val="Header"/>
    <w:basedOn w:val="831"/>
    <w:link w:val="8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2" w:customStyle="1">
    <w:name w:val="Верхний колонтитул Знак"/>
    <w:link w:val="861"/>
    <w:uiPriority w:val="99"/>
  </w:style>
  <w:style w:type="paragraph" w:styleId="863">
    <w:name w:val="Footer"/>
    <w:basedOn w:val="831"/>
    <w:link w:val="8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4" w:customStyle="1">
    <w:name w:val="Footer Char"/>
    <w:uiPriority w:val="99"/>
  </w:style>
  <w:style w:type="paragraph" w:styleId="865">
    <w:name w:val="Caption"/>
    <w:basedOn w:val="831"/>
    <w:next w:val="83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66" w:customStyle="1">
    <w:name w:val="Нижний колонтитул Знак"/>
    <w:link w:val="863"/>
    <w:uiPriority w:val="99"/>
  </w:style>
  <w:style w:type="table" w:styleId="867">
    <w:name w:val="Table Grid"/>
    <w:basedOn w:val="8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8" w:customStyle="1">
    <w:name w:val="Table Grid Light"/>
    <w:basedOn w:val="8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9">
    <w:name w:val="Plain Table 1"/>
    <w:basedOn w:val="8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basedOn w:val="8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 w:customStyle="1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97" w:customStyle="1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98" w:customStyle="1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99" w:customStyle="1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00" w:customStyle="1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01" w:customStyle="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0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3" w:customStyle="1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04" w:customStyle="1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05" w:customStyle="1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0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0" w:customStyle="1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11" w:customStyle="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2" w:customStyle="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13" w:customStyle="1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14" w:customStyle="1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5" w:customStyle="1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1" w:customStyle="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32" w:customStyle="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33" w:customStyle="1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34" w:customStyle="1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2" w:customStyle="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3" w:customStyle="1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4" w:customStyle="1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5" w:customStyle="1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9" w:customStyle="1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60" w:customStyle="1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61" w:customStyle="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62" w:customStyle="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63" w:customStyle="1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64" w:customStyle="1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6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ned - Accent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3" w:customStyle="1">
    <w:name w:val="Lined - Accent 1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74" w:customStyle="1">
    <w:name w:val="Lined - Accent 2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75" w:customStyle="1">
    <w:name w:val="Lined - Accent 3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76" w:customStyle="1">
    <w:name w:val="Lined - Accent 4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77" w:customStyle="1">
    <w:name w:val="Lined - Accent 5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78" w:customStyle="1">
    <w:name w:val="Lined - Accent 6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79" w:customStyle="1">
    <w:name w:val="Bordered &amp; Lined - Accent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0" w:customStyle="1">
    <w:name w:val="Bordered &amp; Lined - Accent 1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81" w:customStyle="1">
    <w:name w:val="Bordered &amp; Lined - Accent 2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82" w:customStyle="1">
    <w:name w:val="Bordered &amp; Lined - Accent 3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83" w:customStyle="1">
    <w:name w:val="Bordered &amp; Lined - Accent 4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84" w:customStyle="1">
    <w:name w:val="Bordered &amp; Lined - Accent 5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85" w:customStyle="1">
    <w:name w:val="Bordered &amp; Lined - Accent 6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86" w:customStyle="1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7" w:customStyle="1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88" w:customStyle="1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89" w:customStyle="1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90" w:customStyle="1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91" w:customStyle="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92" w:customStyle="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93">
    <w:name w:val="Hyperlink"/>
    <w:uiPriority w:val="99"/>
    <w:unhideWhenUsed/>
    <w:rPr>
      <w:color w:val="0563c1" w:themeColor="hyperlink"/>
      <w:u w:val="single"/>
    </w:rPr>
  </w:style>
  <w:style w:type="paragraph" w:styleId="994">
    <w:name w:val="footnote text"/>
    <w:basedOn w:val="831"/>
    <w:link w:val="995"/>
    <w:uiPriority w:val="99"/>
    <w:semiHidden/>
    <w:unhideWhenUsed/>
    <w:pPr>
      <w:spacing w:after="40" w:line="240" w:lineRule="auto"/>
    </w:pPr>
    <w:rPr>
      <w:sz w:val="18"/>
    </w:rPr>
  </w:style>
  <w:style w:type="character" w:styleId="995" w:customStyle="1">
    <w:name w:val="Текст сноски Знак"/>
    <w:link w:val="994"/>
    <w:uiPriority w:val="99"/>
    <w:rPr>
      <w:sz w:val="18"/>
    </w:rPr>
  </w:style>
  <w:style w:type="character" w:styleId="996">
    <w:name w:val="footnote reference"/>
    <w:uiPriority w:val="99"/>
    <w:unhideWhenUsed/>
    <w:rPr>
      <w:vertAlign w:val="superscript"/>
    </w:rPr>
  </w:style>
  <w:style w:type="paragraph" w:styleId="997">
    <w:name w:val="endnote text"/>
    <w:basedOn w:val="831"/>
    <w:link w:val="998"/>
    <w:uiPriority w:val="99"/>
    <w:semiHidden/>
    <w:unhideWhenUsed/>
    <w:pPr>
      <w:spacing w:after="0" w:line="240" w:lineRule="auto"/>
    </w:pPr>
    <w:rPr>
      <w:sz w:val="20"/>
    </w:rPr>
  </w:style>
  <w:style w:type="character" w:styleId="998" w:customStyle="1">
    <w:name w:val="Текст концевой сноски Знак"/>
    <w:link w:val="997"/>
    <w:uiPriority w:val="99"/>
    <w:rPr>
      <w:sz w:val="20"/>
    </w:rPr>
  </w:style>
  <w:style w:type="character" w:styleId="999">
    <w:name w:val="endnote reference"/>
    <w:uiPriority w:val="99"/>
    <w:semiHidden/>
    <w:unhideWhenUsed/>
    <w:rPr>
      <w:vertAlign w:val="superscript"/>
    </w:rPr>
  </w:style>
  <w:style w:type="paragraph" w:styleId="1000">
    <w:name w:val="toc 1"/>
    <w:basedOn w:val="831"/>
    <w:next w:val="831"/>
    <w:uiPriority w:val="39"/>
    <w:unhideWhenUsed/>
    <w:pPr>
      <w:spacing w:after="57"/>
    </w:pPr>
  </w:style>
  <w:style w:type="paragraph" w:styleId="1001">
    <w:name w:val="toc 2"/>
    <w:basedOn w:val="831"/>
    <w:next w:val="831"/>
    <w:uiPriority w:val="39"/>
    <w:unhideWhenUsed/>
    <w:pPr>
      <w:ind w:left="283"/>
      <w:spacing w:after="57"/>
    </w:pPr>
  </w:style>
  <w:style w:type="paragraph" w:styleId="1002">
    <w:name w:val="toc 3"/>
    <w:basedOn w:val="831"/>
    <w:next w:val="831"/>
    <w:uiPriority w:val="39"/>
    <w:unhideWhenUsed/>
    <w:pPr>
      <w:ind w:left="567"/>
      <w:spacing w:after="57"/>
    </w:pPr>
  </w:style>
  <w:style w:type="paragraph" w:styleId="1003">
    <w:name w:val="toc 4"/>
    <w:basedOn w:val="831"/>
    <w:next w:val="831"/>
    <w:uiPriority w:val="39"/>
    <w:unhideWhenUsed/>
    <w:pPr>
      <w:ind w:left="850"/>
      <w:spacing w:after="57"/>
    </w:pPr>
  </w:style>
  <w:style w:type="paragraph" w:styleId="1004">
    <w:name w:val="toc 5"/>
    <w:basedOn w:val="831"/>
    <w:next w:val="831"/>
    <w:uiPriority w:val="39"/>
    <w:unhideWhenUsed/>
    <w:pPr>
      <w:ind w:left="1134"/>
      <w:spacing w:after="57"/>
    </w:pPr>
  </w:style>
  <w:style w:type="paragraph" w:styleId="1005">
    <w:name w:val="toc 6"/>
    <w:basedOn w:val="831"/>
    <w:next w:val="831"/>
    <w:uiPriority w:val="39"/>
    <w:unhideWhenUsed/>
    <w:pPr>
      <w:ind w:left="1417"/>
      <w:spacing w:after="57"/>
    </w:pPr>
  </w:style>
  <w:style w:type="paragraph" w:styleId="1006">
    <w:name w:val="toc 7"/>
    <w:basedOn w:val="831"/>
    <w:next w:val="831"/>
    <w:uiPriority w:val="39"/>
    <w:unhideWhenUsed/>
    <w:pPr>
      <w:ind w:left="1701"/>
      <w:spacing w:after="57"/>
    </w:pPr>
  </w:style>
  <w:style w:type="paragraph" w:styleId="1007">
    <w:name w:val="toc 8"/>
    <w:basedOn w:val="831"/>
    <w:next w:val="831"/>
    <w:uiPriority w:val="39"/>
    <w:unhideWhenUsed/>
    <w:pPr>
      <w:ind w:left="1984"/>
      <w:spacing w:after="57"/>
    </w:pPr>
  </w:style>
  <w:style w:type="paragraph" w:styleId="1008">
    <w:name w:val="toc 9"/>
    <w:basedOn w:val="831"/>
    <w:next w:val="831"/>
    <w:uiPriority w:val="39"/>
    <w:unhideWhenUsed/>
    <w:pPr>
      <w:ind w:left="2268"/>
      <w:spacing w:after="57"/>
    </w:pPr>
  </w:style>
  <w:style w:type="paragraph" w:styleId="1009">
    <w:name w:val="TOC Heading"/>
    <w:uiPriority w:val="39"/>
    <w:unhideWhenUsed/>
  </w:style>
  <w:style w:type="paragraph" w:styleId="1010">
    <w:name w:val="table of figures"/>
    <w:basedOn w:val="831"/>
    <w:next w:val="831"/>
    <w:uiPriority w:val="99"/>
    <w:unhideWhenUsed/>
    <w:pPr>
      <w:spacing w:after="0"/>
    </w:pPr>
  </w:style>
  <w:style w:type="paragraph" w:styleId="1011">
    <w:name w:val="No Spacing"/>
    <w:basedOn w:val="831"/>
    <w:uiPriority w:val="1"/>
    <w:qFormat/>
    <w:pPr>
      <w:spacing w:after="0" w:line="240" w:lineRule="auto"/>
    </w:pPr>
  </w:style>
  <w:style w:type="paragraph" w:styleId="1012">
    <w:name w:val="List Paragraph"/>
    <w:basedOn w:val="831"/>
    <w:uiPriority w:val="34"/>
    <w:qFormat/>
    <w:pPr>
      <w:contextualSpacing/>
      <w:ind w:left="720"/>
    </w:pPr>
  </w:style>
  <w:style w:type="paragraph" w:styleId="1013" w:customStyle="1">
    <w:name w:val="ConsPlusNormal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created xsi:type="dcterms:W3CDTF">2025-09-22T07:26:00Z</dcterms:created>
  <dcterms:modified xsi:type="dcterms:W3CDTF">2025-10-23T06:07:44Z</dcterms:modified>
</cp:coreProperties>
</file>