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7"/>
        <w:ind w:lef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outlineLvl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4"/>
        </w:rPr>
        <w:outlineLvl w:val="0"/>
      </w:pPr>
      <w:r>
        <w:rPr>
          <w:rFonts w:ascii="Arial" w:hAnsi="Arial" w:eastAsia="Arial" w:cs="Arial"/>
          <w:b/>
          <w:i w:val="0"/>
          <w:strike w:val="0"/>
          <w:sz w:val="24"/>
        </w:rPr>
        <w:t xml:space="preserve">ДУМА ГОРОДА НИЖНЕВАРТОВСКА</w:t>
      </w:r>
      <w:r>
        <w:rPr>
          <w:rFonts w:ascii="Arial" w:hAnsi="Arial" w:eastAsia="Arial" w:cs="Arial"/>
          <w:b/>
          <w:i w:val="0"/>
          <w:strike w:val="0"/>
          <w:sz w:val="24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4"/>
        </w:rPr>
      </w:pPr>
      <w:r>
        <w:rPr>
          <w:rFonts w:ascii="Arial" w:hAnsi="Arial" w:eastAsia="Arial" w:cs="Arial"/>
          <w:b/>
          <w:i w:val="0"/>
          <w:strike w:val="0"/>
          <w:sz w:val="24"/>
        </w:rPr>
      </w:r>
      <w:r>
        <w:rPr>
          <w:rFonts w:ascii="Arial" w:hAnsi="Arial" w:eastAsia="Arial" w:cs="Arial"/>
          <w:b/>
          <w:i w:val="0"/>
          <w:strike w:val="0"/>
          <w:sz w:val="24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4"/>
        </w:rPr>
      </w:pPr>
      <w:r>
        <w:rPr>
          <w:rFonts w:ascii="Arial" w:hAnsi="Arial" w:eastAsia="Arial" w:cs="Arial"/>
          <w:b/>
          <w:i w:val="0"/>
          <w:strike w:val="0"/>
          <w:sz w:val="24"/>
        </w:rPr>
        <w:t xml:space="preserve">РЕШЕНИЕ</w:t>
      </w:r>
      <w:r>
        <w:rPr>
          <w:rFonts w:ascii="Arial" w:hAnsi="Arial" w:eastAsia="Arial" w:cs="Arial"/>
          <w:b/>
          <w:i w:val="0"/>
          <w:strike w:val="0"/>
          <w:sz w:val="24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4"/>
        </w:rPr>
      </w:pPr>
      <w:r>
        <w:rPr>
          <w:rFonts w:ascii="Arial" w:hAnsi="Arial" w:eastAsia="Arial" w:cs="Arial"/>
          <w:b/>
          <w:i w:val="0"/>
          <w:strike w:val="0"/>
          <w:sz w:val="24"/>
        </w:rPr>
        <w:t xml:space="preserve">от 20 февраля 2004 г. N 339</w:t>
      </w:r>
      <w:r>
        <w:rPr>
          <w:rFonts w:ascii="Arial" w:hAnsi="Arial" w:eastAsia="Arial" w:cs="Arial"/>
          <w:b/>
          <w:i w:val="0"/>
          <w:strike w:val="0"/>
          <w:sz w:val="24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4"/>
        </w:rPr>
      </w:pPr>
      <w:r>
        <w:rPr>
          <w:rFonts w:ascii="Arial" w:hAnsi="Arial" w:eastAsia="Arial" w:cs="Arial"/>
          <w:b/>
          <w:i w:val="0"/>
          <w:strike w:val="0"/>
          <w:sz w:val="24"/>
        </w:rPr>
      </w:r>
      <w:r>
        <w:rPr>
          <w:rFonts w:ascii="Arial" w:hAnsi="Arial" w:eastAsia="Arial" w:cs="Arial"/>
          <w:b/>
          <w:i w:val="0"/>
          <w:strike w:val="0"/>
          <w:sz w:val="24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4"/>
        </w:rPr>
      </w:pPr>
      <w:r>
        <w:rPr>
          <w:rFonts w:ascii="Arial" w:hAnsi="Arial" w:eastAsia="Arial" w:cs="Arial"/>
          <w:b/>
          <w:i w:val="0"/>
          <w:strike w:val="0"/>
          <w:sz w:val="24"/>
        </w:rPr>
        <w:t xml:space="preserve">О ПОСТОЯННО ДЕЙСТВУЮЩЕЙ МУНИЦИПАЛЬНОЙ ТРЕХСТОРОННЕЙ КОМИССИИ</w:t>
      </w:r>
      <w:r>
        <w:rPr>
          <w:rFonts w:ascii="Arial" w:hAnsi="Arial" w:eastAsia="Arial" w:cs="Arial"/>
          <w:b/>
          <w:i w:val="0"/>
          <w:strike w:val="0"/>
          <w:sz w:val="24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4"/>
        </w:rPr>
      </w:pPr>
      <w:r>
        <w:rPr>
          <w:rFonts w:ascii="Arial" w:hAnsi="Arial" w:eastAsia="Arial" w:cs="Arial"/>
          <w:b/>
          <w:i w:val="0"/>
          <w:strike w:val="0"/>
          <w:sz w:val="24"/>
        </w:rPr>
        <w:t xml:space="preserve">ПО РЕГУЛИРОВАНИЮ СОЦИАЛЬНО-ТРУДОВЫХ ОТНОШЕНИЙ</w:t>
      </w:r>
      <w:r>
        <w:rPr>
          <w:rFonts w:ascii="Arial" w:hAnsi="Arial" w:eastAsia="Arial" w:cs="Arial"/>
          <w:b/>
          <w:i w:val="0"/>
          <w:strike w:val="0"/>
          <w:sz w:val="24"/>
        </w:rPr>
      </w:r>
    </w:p>
    <w:p>
      <w:pPr>
        <w:jc w:val="left"/>
        <w:spacing w:before="0" w:after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9921" w:type="dxa"/>
            <w:vAlign w:val="top"/>
            <w:textDirection w:val="lrTb"/>
            <w:noWrap w:val="false"/>
          </w:tcPr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  <w:t xml:space="preserve">Список изменяющих документов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</w:r>
          </w:p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  <w:t xml:space="preserve">(в ред. решений Думы города Нижневартовска от 18.02.2011 N 873,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</w:r>
          </w:p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  <w:t xml:space="preserve">от 16.09.2011 N 77, от 26.09.2014 N 637, от 25.11.2016 N 58,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</w:r>
          </w:p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  <w:t xml:space="preserve">от 24.05.2024 N 426)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</w:r>
          </w:p>
        </w:tc>
      </w:tr>
    </w:tbl>
    <w:p>
      <w:pPr>
        <w:pStyle w:val="757"/>
        <w:ind w:lef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В целях обеспечения регулирования социально-трудовых и связанных с ними экономических отношений на принципах социального партнерства в муниципальном образовании город Ни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жневартовск, руководствуясь статьей 35 Трудового кодекса Российской Федерации и Законом Ханты-Мансийского автономного округа "О трехсторонних комиссиях по регулированию социально-трудовых отношений в Ханты-Мансийском автономном округе", Дума города решила: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Утвердить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4"/>
          </w:rPr>
          <w:t xml:space="preserve">Положение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 о постоянно действующей муниципальной трехсторонней комиссии по регулированию социально-трудовых отношений.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Глава муниципального образования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город Нижневартовск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Б.С.ХОХРЯКОВ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outlineLvl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Приложение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к решению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Думы города Нижневартовска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от 20 февраля 2004 г. N 339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4"/>
        </w:rPr>
      </w:pPr>
      <w:r/>
      <w:bookmarkStart w:id="1" w:name="Par29"/>
      <w:r/>
      <w:bookmarkEnd w:id="1"/>
      <w:r>
        <w:rPr>
          <w:rFonts w:ascii="Arial" w:hAnsi="Arial" w:eastAsia="Arial" w:cs="Arial"/>
          <w:b/>
          <w:i w:val="0"/>
          <w:strike w:val="0"/>
          <w:sz w:val="24"/>
        </w:rPr>
        <w:t xml:space="preserve">ПОЛОЖЕНИЕ</w:t>
      </w:r>
      <w:r>
        <w:rPr>
          <w:rFonts w:ascii="Arial" w:hAnsi="Arial" w:eastAsia="Arial" w:cs="Arial"/>
          <w:b/>
          <w:i w:val="0"/>
          <w:strike w:val="0"/>
          <w:sz w:val="24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4"/>
        </w:rPr>
      </w:pPr>
      <w:r>
        <w:rPr>
          <w:rFonts w:ascii="Arial" w:hAnsi="Arial" w:eastAsia="Arial" w:cs="Arial"/>
          <w:b/>
          <w:i w:val="0"/>
          <w:strike w:val="0"/>
          <w:sz w:val="24"/>
        </w:rPr>
        <w:t xml:space="preserve">О ПОСТОЯННО ДЕЙСТВУЮЩЕЙ МУНИЦИПАЛЬНОЙ ТРЕХСТОРОННЕЙ КОМИССИИ</w:t>
      </w:r>
      <w:r>
        <w:rPr>
          <w:rFonts w:ascii="Arial" w:hAnsi="Arial" w:eastAsia="Arial" w:cs="Arial"/>
          <w:b/>
          <w:i w:val="0"/>
          <w:strike w:val="0"/>
          <w:sz w:val="24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4"/>
        </w:rPr>
      </w:pPr>
      <w:r>
        <w:rPr>
          <w:rFonts w:ascii="Arial" w:hAnsi="Arial" w:eastAsia="Arial" w:cs="Arial"/>
          <w:b/>
          <w:i w:val="0"/>
          <w:strike w:val="0"/>
          <w:sz w:val="24"/>
        </w:rPr>
        <w:t xml:space="preserve">ПО РЕГУЛИРОВАНИЮ СОЦИАЛЬНО-ТРУДОВЫХ ОТНОШЕНИЙ</w:t>
      </w:r>
      <w:r>
        <w:rPr>
          <w:rFonts w:ascii="Arial" w:hAnsi="Arial" w:eastAsia="Arial" w:cs="Arial"/>
          <w:b/>
          <w:i w:val="0"/>
          <w:strike w:val="0"/>
          <w:sz w:val="24"/>
        </w:rPr>
      </w:r>
    </w:p>
    <w:p>
      <w:pPr>
        <w:jc w:val="left"/>
        <w:spacing w:before="0" w:after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9921" w:type="dxa"/>
            <w:vAlign w:val="top"/>
            <w:textDirection w:val="lrTb"/>
            <w:noWrap w:val="false"/>
          </w:tcPr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  <w:t xml:space="preserve">Список изменяющих документов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</w:r>
          </w:p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  <w:t xml:space="preserve">(в ред. решений Думы города Нижневартовска от 18.02.2011 N 873,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</w:r>
          </w:p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  <w:t xml:space="preserve">от 16.09.2011 N 77, от 26.09.2014 N 637, от 25.11.2016 N 58,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</w:r>
          </w:p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  <w:t xml:space="preserve">от 24.05.2024 N 426)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</w:rPr>
            </w:r>
          </w:p>
        </w:tc>
      </w:tr>
    </w:tbl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Настоящее Положение определяет правовую основу формирования и деятельности постоянно действующей трехсторонней комиссии по регулированию социально-трудовых отношений в муниципальном образовании город Нижневартовск.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4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4"/>
        </w:rPr>
        <w:t xml:space="preserve">I. Общие положения</w:t>
      </w:r>
      <w:r>
        <w:rPr>
          <w:rFonts w:ascii="Arial" w:hAnsi="Arial" w:eastAsia="Arial" w:cs="Arial"/>
          <w:b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1.1. Постоянно действующая муниципальная трехсторонняя комиссия по регулирован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ию социально-трудовых отношений (в дальнейшем - Комиссия) является органом социального партнерства, состоит из представителей объединения работодателей муниципального образования город Нижневартовск (далее - работодатели), объединения профессиональных союз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ов муниципального образования город Нижневартовск (далее - профсоюзы), Думы и Администрации муниципального образования город Нижневартовск (далее - органы местного самоуправления города), которые образуют соответствующие стороны Комиссии (далее - стороны).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1.2. Комиссия руководствуется в своей деятельности положениями Конституции Россий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ской Федерации, Трудового кодекса Российской Федерации, федеральных законов, законами и иными нормативно-правовыми актами Ханты-Мансийского автономного округа - Югры, нормативно-правовыми актами органов местного самоуправления города, настоящим Положением.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(в ред. решения Думы города Нижневартовска от 26.09.2014 N 637)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1.3. Комиссия учитывает в своей деятельности положения Генерального соглашения между общероссийскими объединениями профсоюзов, общероссийскими объединениями работодателей и Правительством Российской Федерации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, общероссийских отраслевых (межотраслевых) тарифных, профессиональных соглашений, заключенных в соответствии с законодательством, Трехстороннего соглашения между органами государственной власти Ханты-Мансийского автономного округа - Югры, объединением раб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отодателей Ханты-Мансийского автономного округа - Югры, объединением организаций профсоюзов Ханты-Мансийского автономного округа - Югры, территориального трехстороннего соглашения между работодателями, профсоюзами и органами местного самоуправления города.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(в ред. решения Думы города Нижневартовска от 26.09.2014 N 637)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4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4"/>
        </w:rPr>
        <w:t xml:space="preserve">II. Основные цели и задачи Комиссии</w:t>
      </w:r>
      <w:r>
        <w:rPr>
          <w:rFonts w:ascii="Arial" w:hAnsi="Arial" w:eastAsia="Arial" w:cs="Arial"/>
          <w:b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2.1. Основной целью деятельности Комиссии являетс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я регулирование социально-трудовых и связанных с ними экономических отношений, согласование интересов работников и работодателей в целях обеспечения устойчивого развития экономики города и на этой основе стабильного повышения уровня жизни населения города.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2.2. Основными задачами Комиссии являются: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1) ведение коллективных переговоров, подготовка проектов и заключение территориального трехстороннего соглашения (далее - Соглашение);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2) контроль за выполнением Соглашения;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3) разработка и осуществление мер по предотвращению, содействию в разрешении коллективных трудовых споров и конфликтов в городе;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4) внесение предложений в соответствующие органы о приостановлении или отмене решений, связанных с возможностью возникновения коллективных трудовых споров и конфликтов;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5) подготовка и внесение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предложений в органы государственной власти Ханты-Мансийского автономного округа - Югры по разработке нормативных правовых актов, направленных на социально-экономическое развитие Ханты-Мансийского автономного округа - Югры, предоставление гарантий и льгот;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(в ред. решения Думы города Нижневартовска от 26.09.2014 N 637)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6) взаимодействие с трехсторонней комиссией Ханты-Мансийского автономного округа - Югры по регулированию социально-трудовых отношений и окружными, территориальными отраслевыми (межотраслевыми) комиссиями по регулированию социально-трудовых отношений.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(в ред. решения Думы города Нижневартовска от 26.09.2014 N 637)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4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4"/>
        </w:rPr>
        <w:t xml:space="preserve">III. Порядок формирования Комиссии</w:t>
      </w:r>
      <w:r>
        <w:rPr>
          <w:rFonts w:ascii="Arial" w:hAnsi="Arial" w:eastAsia="Arial" w:cs="Arial"/>
          <w:b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3.1. Комиссия формируется на основе принципов: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1) добровольности участия работодателей и профсоюзов в деятельности Комиссии;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2) полномочности сторон;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3) независимости каждой из сторон при определении персонального состава своих представителей.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3.2. Численность представителей от каждой стороны не должна превышать 10 человек.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3.3. Работодатели и профсоюзы самостоятельно определяют персональный состав своих представителей в Комиссии.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3.4. Персональный состав представителей Думы города в Комиссии утверждается Думой города. В состав Комиссии не могут входить депутаты Думы, являющиеся руководителями организаций и учреждений независимо от организационно-правовых форм и форм собственности.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3.5. Персональный состав представителей администрации города утверждается правовым актом главы города.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(п. 3.5 в ред. решения Думы города Нижневартовска от 25.11.2016 N 58)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3.6. Представители сторон являются членами Комиссии.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3.7.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Утверждение и замена представителей работодателей и профсоюзов производится в соответствии с решением органов указанных объединений, утверждение и замена представителей Думы города - решением Думы города, Администрации города - правовым актом главы города.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(в ред. решений Думы города Нижневартовска от 16.09.2011 N 77, от 25.11.2016 N 58)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4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4"/>
        </w:rPr>
        <w:t xml:space="preserve">IV. Порядок деятельности Комиссии</w:t>
      </w:r>
      <w:r>
        <w:rPr>
          <w:rFonts w:ascii="Arial" w:hAnsi="Arial" w:eastAsia="Arial" w:cs="Arial"/>
          <w:b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4.1. Комиссия разрабатывает и утверждает регламент работы Комиссии, определяет порядок подготовки проекта и заключения Соглашения.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4.2. Каждая из сторон представляет имеющуюся в ее распоряжении информацию, необходимую для работы Комиссии.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4.3. Деятельность сторон Комиссии обеспечивают координаторы сторон Комиссии.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4.4. Заседания Комиссии проводятся по мере необходимости. По письменному предложению координатора одной из сторон в течение десяти дней созывается внеочередное заседание Комиссии.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(в ред. решения Думы города Нижневартовска от 24.05.2024 N 426)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4.5. Заседание Комиссии правомочно при наличии более половины членов Комиссии от каждой из сторон.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4.6. Председательствует на заседаниях координатор Комиссии, а в случае его отсутствия - один из координаторов сторон Комиссии, выбираемый путем открытого голосования присутствующими членами Комиссии.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4.7. В ходе проведения заседания Комиссии ведется протокол заседания.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4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4"/>
        </w:rPr>
        <w:t xml:space="preserve">V. Порядок принятия решений Комиссии</w:t>
      </w:r>
      <w:r>
        <w:rPr>
          <w:rFonts w:ascii="Arial" w:hAnsi="Arial" w:eastAsia="Arial" w:cs="Arial"/>
          <w:b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5.1. Решение Комиссии считается принятым, если за него проголосовало большинство голосов каждой из ее сторон, присутствующих на заседании.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5.2. Члены Комиссии, несогласные с принятым решением, вправе требовать занесения их особого мнения в протокол заседания Комиссии.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5.3. Разногласия, возникшие в процессе работы Комиссии, разрешаются в порядке, установленном законодательством.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4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4"/>
        </w:rPr>
        <w:t xml:space="preserve">VI. Права Комиссии</w:t>
      </w:r>
      <w:r>
        <w:rPr>
          <w:rFonts w:ascii="Arial" w:hAnsi="Arial" w:eastAsia="Arial" w:cs="Arial"/>
          <w:b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6.1. Комиссия для выполнения своих задач имеет право: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1) проводить с органами местного самоуправления города консультации по вопросам, связанным с разработкой и реализацией социально-экономической политики города;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2) вносить в органы местного самоуправления города предложения о разработке нормативных правовых актов в области социально-трудовых и связанных с ними экономических отношений;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3) согласовывать интересы работников, работодателей, органов местного самоуправления города при разработке проекта и реализации Соглашения, выполнении решений Комиссии сторонами;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4) осуществлять взаимодействие с трехсторонней окружной комиссией по регулированию социально-трудовых отношений при проведении коллективных переговоров, подготовке проекта и заключения Соглашения;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5) осуществлять контроль за выполнением своих решений;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6) вносить предложения по привлечению к ответственности лиц, не выполняющих Соглашение;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7) запрашивать и получать от органов местного самоуправления города информацию о социально-экономической ситуации в городе, необходимую для ведения коллективных переговоров, подготовки проекта Соглашения и организации контроля за его выполнением;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8) запраш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ивать и получать нормативные правовые акты сторон социального партнерства, а также проекты нормативных правовых актов органов местного самоуправления муниципального образования города в области социально-трудовых и связанных с ними экономических отношений;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9) принимать по согласованию с организациями профессиональных 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оюзов и их объединениями, объединениями работодателей, органами местного самоуправления города участие в проводимых указанными объединениями и органами заседаниях, на которых рассматриваются вопросы, связанные с регулированием социально-трудовых отношений;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10) привлекать в качестве экспертов для участия в своей деятельности ученых, специалистов, представителей других организаций;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11) для рассмотрения отдельных проблем создавать рабочие группы с привлечением ученых и специалистов в качестве экспертов;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12) принимать участие в проведении совещаний, конференций, конгрессов, семинаров по вопросам социально-трудовых и связанных с ними экономических отношений и социального партнерства в согласованном с организаторами указанных мероприятий порядке.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4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4"/>
        </w:rPr>
        <w:t xml:space="preserve">VII. Координатор Комиссии</w:t>
      </w:r>
      <w:r>
        <w:rPr>
          <w:rFonts w:ascii="Arial" w:hAnsi="Arial" w:eastAsia="Arial" w:cs="Arial"/>
          <w:b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7.1. Координатором Комиссии является глава города. Координатор Комиссии не является членом Комиссии.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(в ред. решений Думы города Нижневартовска от 18.02.2011 N 873, от 16.09.2011 N 77, от 25.11.2016 N 58)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7.2. Координатор Комиссии: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1) организует деятельность Комиссии, созывает заседания Комиссии, председательствует на ее заседаниях;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2) утверждает состав рабочих групп Комиссии;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3) оказывает содействие в согласовании позиций сторон;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4) утверждает планы работы и решения Комиссии, подписывает протокол заседания Комиссии;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5) руководит секретариатом Комиссии;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6) запрашивает у органов местного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самоуправления города, организаций города информацию о заключаемых и заключенных коллективных договорах в целях выработки рекомендаций Комиссии по развитию коллективно-договорного регулирования социально-трудовых и связанных с ними экономических отношений;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7) приглашает для участия в работе Комиссии в качестве экспертов представителей сторон, не являющихся членами Комиссии, ученых и специалистов, представителей других организаций;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8) проводит в пределах своей компетенции в период между заседаниями Комиссии консультации с координаторами сторон по вопросам, требующим принятия оперативных решений;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9) информирует органы местного самоуправления города о деятельности Комиссии;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10) информирует Комиссию о мерах, принимаемых органами местного самоуправления города в области социально-трудовых и связанных с ними экономических отношений;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11) не вмешивается в деятельность сторон и не принимает участия в голосовании.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4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4"/>
        </w:rPr>
        <w:t xml:space="preserve">VIII. Координаторы сторон Комиссии</w:t>
      </w:r>
      <w:r>
        <w:rPr>
          <w:rFonts w:ascii="Arial" w:hAnsi="Arial" w:eastAsia="Arial" w:cs="Arial"/>
          <w:b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8.1. Деятельность каждой из сторон организует координатор стороны Комиссии.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8.2. Координаторы сторон работодателей и профсоюзов избираются указанными сторонами из числа их представителей.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8.3. Координатор, представляющий органы местного самоуправления города, назначается главой города, по согласованию с Думой города.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(п. 8.3 в ред. решения Думы города Нижневартовска от 25.11.2016 N 58)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8.4. Координаторы сторон Комиссии подписывают регламент работы Комиссии, по поручению соответствующей стороны вносят координатору Комиссии предложения по проектам планов работы Комиссии, повесткам ее заседаний, персон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альному составу представителей стороны в рабочих группах; информируют Комиссию об изменениях персонального состава стороны в Комиссии; организуют совещания представителей стороны в целях уточнения их позиций по вопросам, внесенным на рассмотрение Комиссии.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8.5. Координаторы сторон Комиссии по поручению соответствующей стороны вправе вносить координатору Комиссии письменные предложения о проведении внеочередного заседания Комиссии.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8.6. Координатор каждой из сторон приглашает для участия в работе Комиссии в качестве экспертов своих представителей, не являющихся членами Комиссии, ученых, специалистов, а также представителей других организаций.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4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4"/>
        </w:rPr>
        <w:t xml:space="preserve">IX. Права и обязанности члена Комиссии</w:t>
      </w:r>
      <w:r>
        <w:rPr>
          <w:rFonts w:ascii="Arial" w:hAnsi="Arial" w:eastAsia="Arial" w:cs="Arial"/>
          <w:b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9.1. Права и обязанности члена Комиссии определяются регламентом работы Комиссии.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4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4"/>
        </w:rPr>
        <w:t xml:space="preserve">X. Обеспечение деятельности Комиссии</w:t>
      </w:r>
      <w:r>
        <w:rPr>
          <w:rFonts w:ascii="Arial" w:hAnsi="Arial" w:eastAsia="Arial" w:cs="Arial"/>
          <w:b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10.1. Для организационного обеспечения деятельности Комиссии создается секретариат Комиссии, который осуществляет свою деятельность в соответствии с регламентом работы Комиссии.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10.2. Финансовое и материально-техническое обеспечение деятельности Комиссии осуществляется по соглашению сторон.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4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4"/>
        </w:rPr>
        <w:t xml:space="preserve">XI. Обеспечение органами местного самоуправления города</w:t>
      </w:r>
      <w:r>
        <w:rPr>
          <w:rFonts w:ascii="Arial" w:hAnsi="Arial" w:eastAsia="Arial" w:cs="Arial"/>
          <w:b/>
          <w:i w:val="0"/>
          <w:strike w:val="0"/>
          <w:sz w:val="24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4"/>
        </w:rPr>
      </w:pPr>
      <w:r>
        <w:rPr>
          <w:rFonts w:ascii="Arial" w:hAnsi="Arial" w:eastAsia="Arial" w:cs="Arial"/>
          <w:b/>
          <w:i w:val="0"/>
          <w:strike w:val="0"/>
          <w:sz w:val="24"/>
        </w:rPr>
        <w:t xml:space="preserve">условий для работы Комиссии</w:t>
      </w:r>
      <w:r>
        <w:rPr>
          <w:rFonts w:ascii="Arial" w:hAnsi="Arial" w:eastAsia="Arial" w:cs="Arial"/>
          <w:b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  <w:t xml:space="preserve">11.1. Органы местного самоуправления города обеспечивают условия для работы Комиссии, опубликование в муниципальных средствах массовой информации результатов переговоров, консультаций, соглашений и ход их выполнения.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</w:p>
    <w:p>
      <w:pPr>
        <w:pStyle w:val="757"/>
        <w:ind w:left="0" w:firstLine="0"/>
        <w:jc w:val="both"/>
        <w:spacing w:before="100" w:after="10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0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0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0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jc w:val="left"/>
      </w:pPr>
      <w:r>
        <w:separator/>
      </w:r>
      <w:r/>
    </w:p>
  </w:endnote>
  <w:endnote w:type="continuationSeparator" w:id="0">
    <w:p>
      <w:pPr>
        <w:jc w:val="left"/>
      </w:pPr>
      <w: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before="0" w:after="0" w:line="240" w:lineRule="auto"/>
      <w:rPr>
        <w:sz w:val="1"/>
      </w:rPr>
      <w:pBdr>
        <w:bottom w:val="single" w:color="000000" w:sz="12" w:space="0"/>
      </w:pBdr>
    </w:pPr>
    <w:r>
      <w:rPr>
        <w:sz w:val="1"/>
      </w:rPr>
    </w:r>
    <w:r>
      <w:rPr>
        <w:sz w:val="1"/>
      </w:rPr>
    </w:r>
  </w:p>
  <w:tbl>
    <w:tblPr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68"/>
      <w:gridCol w:w="3470"/>
      <w:gridCol w:w="3369"/>
    </w:tblGrid>
    <w:tr>
      <w:tblPrEx/>
      <w:trPr>
        <w:trHeight w:val="1663" w:hRule="exact"/>
      </w:trPr>
      <w:tc>
        <w:tcPr>
          <w:tc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</w:tcBorders>
          <w:tcW w:w="3368" w:type="dxa"/>
          <w:vAlign w:val="center"/>
          <w:textDirection w:val="lrTb"/>
          <w:noWrap w:val="false"/>
        </w:tcPr>
        <w:p>
          <w:pPr>
            <w:jc w:val="left"/>
            <w:spacing w:before="0" w:after="0" w:line="240" w:lineRule="auto"/>
            <w:rPr>
              <w:rFonts w:ascii="Tahoma" w:hAnsi="Tahoma" w:eastAsia="Tahoma" w:cs="Tahoma"/>
              <w:b/>
              <w:i w:val="0"/>
              <w:color w:val="f58220"/>
              <w:sz w:val="28"/>
            </w:rPr>
          </w:pPr>
          <w:r>
            <w:rPr>
              <w:rFonts w:ascii="Tahoma" w:hAnsi="Tahoma" w:eastAsia="Tahoma" w:cs="Tahoma"/>
              <w:b/>
              <w:i w:val="0"/>
              <w:color w:val="f58220"/>
              <w:sz w:val="28"/>
            </w:rPr>
            <w:t xml:space="preserve">КонсультантПлюс</w:t>
          </w:r>
          <w:r>
            <w:rPr>
              <w:rFonts w:ascii="Tahoma" w:hAnsi="Tahoma" w:eastAsia="Tahoma" w:cs="Tahoma"/>
              <w:b/>
              <w:i w:val="0"/>
              <w:color w:val="auto"/>
              <w:sz w:val="16"/>
            </w:rPr>
            <w:br/>
          </w:r>
          <w:r>
            <w:rPr>
              <w:rFonts w:ascii="Tahoma" w:hAnsi="Tahoma" w:eastAsia="Tahoma" w:cs="Tahoma"/>
              <w:b/>
              <w:i w:val="0"/>
              <w:color w:val="auto"/>
              <w:sz w:val="16"/>
            </w:rPr>
            <w:t xml:space="preserve">надежная правовая поддержка</w:t>
          </w:r>
          <w:r>
            <w:rPr>
              <w:rFonts w:ascii="Tahoma" w:hAnsi="Tahoma" w:eastAsia="Tahoma" w:cs="Tahoma"/>
              <w:b/>
              <w:i w:val="0"/>
              <w:color w:val="f58220"/>
              <w:sz w:val="28"/>
            </w:rPr>
          </w:r>
        </w:p>
      </w:tc>
      <w:tc>
        <w:tcPr>
          <w:tc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</w:tcBorders>
          <w:tcW w:w="3470" w:type="dxa"/>
          <w:vAlign w:val="center"/>
          <w:textDirection w:val="lrTb"/>
          <w:noWrap w:val="false"/>
        </w:tcPr>
        <w:p>
          <w:pPr>
            <w:jc w:val="center"/>
            <w:spacing w:before="0" w:after="0" w:line="240" w:lineRule="auto"/>
            <w:rPr>
              <w:rFonts w:ascii="Tahoma" w:hAnsi="Tahoma" w:eastAsia="Tahoma" w:cs="Tahoma"/>
              <w:b/>
              <w:i w:val="0"/>
              <w:sz w:val="20"/>
            </w:rPr>
          </w:pPr>
          <w:r/>
          <w:hyperlink r:id="rId1" w:tooltip="https://www.consultant.ru" w:history="1">
            <w:r>
              <w:rPr>
                <w:rFonts w:ascii="Tahoma" w:hAnsi="Tahoma" w:eastAsia="Tahoma" w:cs="Tahoma"/>
                <w:b/>
                <w:i w:val="0"/>
                <w:color w:val="0000ff"/>
                <w:sz w:val="20"/>
              </w:rPr>
              <w:t xml:space="preserve">www.consultant.ru</w:t>
            </w:r>
          </w:hyperlink>
          <w:r/>
          <w:r>
            <w:rPr>
              <w:rFonts w:ascii="Tahoma" w:hAnsi="Tahoma" w:eastAsia="Tahoma" w:cs="Tahoma"/>
              <w:b/>
              <w:i w:val="0"/>
              <w:sz w:val="20"/>
            </w:rPr>
          </w:r>
        </w:p>
      </w:tc>
      <w:tc>
        <w:tcPr>
          <w:tc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</w:tcBorders>
          <w:tcW w:w="3369" w:type="dxa"/>
          <w:vAlign w:val="center"/>
          <w:textDirection w:val="lrTb"/>
          <w:noWrap w:val="false"/>
        </w:tcPr>
        <w:p>
          <w:pPr>
            <w:jc w:val="right"/>
            <w:spacing w:before="0" w:after="0" w:line="240" w:lineRule="auto"/>
            <w:rPr>
              <w:rFonts w:ascii="Tahoma" w:hAnsi="Tahoma" w:eastAsia="Tahoma" w:cs="Tahoma"/>
              <w:b w:val="0"/>
              <w:i w:val="0"/>
              <w:sz w:val="20"/>
            </w:rPr>
          </w:pPr>
          <w:r>
            <w:rPr>
              <w:rFonts w:ascii="Tahoma" w:hAnsi="Tahoma" w:eastAsia="Tahoma" w:cs="Tahoma"/>
              <w:b w:val="0"/>
              <w:i w:val="0"/>
              <w:sz w:val="20"/>
            </w:rPr>
            <w:t xml:space="preserve">Страница </w:t>
          </w:r>
          <w:r>
            <w:fldChar w:fldCharType="begin"/>
          </w:r>
          <w:r>
            <w:instrText xml:space="preserve">\PAGE</w:instrText>
          </w:r>
          <w:r>
            <w:fldChar w:fldCharType="separate"/>
          </w:r>
          <w:r>
            <w:fldChar w:fldCharType="end"/>
          </w:r>
          <w:r>
            <w:rPr>
              <w:rFonts w:ascii="Tahoma" w:hAnsi="Tahoma" w:eastAsia="Tahoma" w:cs="Tahoma"/>
              <w:b w:val="0"/>
              <w:i w:val="0"/>
              <w:sz w:val="20"/>
            </w:rPr>
            <w:t xml:space="preserve"> из </w:t>
          </w:r>
          <w:r>
            <w:fldChar w:fldCharType="begin"/>
          </w:r>
          <w:r>
            <w:instrText xml:space="preserve">\NUMPAGES</w:instrText>
          </w:r>
          <w:r>
            <w:fldChar w:fldCharType="separate"/>
          </w:r>
          <w:r>
            <w:fldChar w:fldCharType="end"/>
          </w:r>
          <w:r>
            <w:rPr>
              <w:rFonts w:ascii="Tahoma" w:hAnsi="Tahoma" w:eastAsia="Tahoma" w:cs="Tahoma"/>
              <w:b w:val="0"/>
              <w:i w:val="0"/>
              <w:sz w:val="20"/>
            </w:rPr>
          </w:r>
        </w:p>
      </w:tc>
    </w:tr>
  </w:tbl>
  <w:p>
    <w:pPr>
      <w:jc w:val="left"/>
      <w:spacing w:before="0" w:after="0" w:line="240" w:lineRule="auto"/>
      <w:rPr>
        <w:sz w:val="1"/>
      </w:rPr>
    </w:pPr>
    <w:r>
      <w:rPr>
        <w:sz w:val="1"/>
      </w:rPr>
    </w:r>
    <w:r>
      <w:rPr>
        <w:sz w:val="1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jc w:val="left"/>
      </w:pPr>
      <w:r>
        <w:separator/>
      </w:r>
      <w:r/>
    </w:p>
  </w:footnote>
  <w:footnote w:type="continuationSeparator" w:id="0">
    <w:p>
      <w:pPr>
        <w:jc w:val="left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11"/>
      <w:gridCol w:w="4695"/>
    </w:tblGrid>
    <w:tr>
      <w:tblPrEx/>
      <w:trPr>
        <w:trHeight w:val="1683" w:hRule="exact"/>
      </w:trPr>
      <w:tc>
        <w:tcPr>
          <w:tc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</w:tcBorders>
          <w:tcW w:w="5511" w:type="dxa"/>
          <w:vAlign w:val="center"/>
          <w:textDirection w:val="lrTb"/>
          <w:noWrap w:val="false"/>
        </w:tcPr>
        <w:p>
          <w:pPr>
            <w:jc w:val="left"/>
            <w:spacing w:before="0" w:after="0" w:line="240" w:lineRule="auto"/>
            <w:rPr>
              <w:rFonts w:ascii="Tahoma" w:hAnsi="Tahoma" w:eastAsia="Tahoma" w:cs="Tahoma"/>
              <w:b w:val="0"/>
              <w:i w:val="0"/>
              <w:sz w:val="16"/>
            </w:rPr>
          </w:pPr>
          <w:r>
            <w:rPr>
              <w:rFonts w:ascii="Tahoma" w:hAnsi="Tahoma" w:eastAsia="Tahoma" w:cs="Tahoma"/>
              <w:b w:val="0"/>
              <w:i w:val="0"/>
              <w:sz w:val="16"/>
            </w:rPr>
            <w:t xml:space="preserve">Решение Думы города Нижневартовска от 20.02.2004 N 339</w:t>
          </w:r>
          <w:r>
            <w:rPr>
              <w:rFonts w:ascii="Tahoma" w:hAnsi="Tahoma" w:eastAsia="Tahoma" w:cs="Tahoma"/>
              <w:b w:val="0"/>
              <w:i w:val="0"/>
              <w:sz w:val="16"/>
            </w:rPr>
            <w:br/>
          </w:r>
          <w:r>
            <w:rPr>
              <w:rFonts w:ascii="Tahoma" w:hAnsi="Tahoma" w:eastAsia="Tahoma" w:cs="Tahoma"/>
              <w:b w:val="0"/>
              <w:i w:val="0"/>
              <w:sz w:val="16"/>
            </w:rPr>
            <w:t xml:space="preserve">(ред. от 24.05.2024)</w:t>
          </w:r>
          <w:r>
            <w:rPr>
              <w:rFonts w:ascii="Tahoma" w:hAnsi="Tahoma" w:eastAsia="Tahoma" w:cs="Tahoma"/>
              <w:b w:val="0"/>
              <w:i w:val="0"/>
              <w:sz w:val="16"/>
            </w:rPr>
            <w:br/>
          </w:r>
          <w:r>
            <w:rPr>
              <w:rFonts w:ascii="Tahoma" w:hAnsi="Tahoma" w:eastAsia="Tahoma" w:cs="Tahoma"/>
              <w:b w:val="0"/>
              <w:i w:val="0"/>
              <w:sz w:val="16"/>
            </w:rPr>
            <w:t xml:space="preserve">"О постоянно действующей муниципальной трехс...</w:t>
          </w:r>
          <w:r>
            <w:rPr>
              <w:rFonts w:ascii="Tahoma" w:hAnsi="Tahoma" w:eastAsia="Tahoma" w:cs="Tahoma"/>
              <w:b w:val="0"/>
              <w:i w:val="0"/>
              <w:sz w:val="16"/>
            </w:rPr>
          </w:r>
        </w:p>
      </w:tc>
      <w:tc>
        <w:tcPr>
          <w:tc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</w:tcBorders>
          <w:tcW w:w="4695" w:type="dxa"/>
          <w:vAlign w:val="center"/>
          <w:textDirection w:val="lrTb"/>
          <w:noWrap w:val="false"/>
        </w:tcPr>
        <w:p>
          <w:pPr>
            <w:jc w:val="right"/>
            <w:spacing w:before="0" w:after="0" w:line="240" w:lineRule="auto"/>
            <w:rPr>
              <w:rFonts w:ascii="Tahoma" w:hAnsi="Tahoma" w:eastAsia="Tahoma" w:cs="Tahoma"/>
              <w:b w:val="0"/>
              <w:i w:val="0"/>
              <w:sz w:val="16"/>
            </w:rPr>
          </w:pPr>
          <w:r>
            <w:rPr>
              <w:rFonts w:ascii="Tahoma" w:hAnsi="Tahoma" w:eastAsia="Tahoma" w:cs="Tahoma"/>
              <w:b w:val="0"/>
              <w:i w:val="0"/>
              <w:sz w:val="18"/>
            </w:rPr>
            <w:t xml:space="preserve">Документ предоставлен </w:t>
          </w:r>
          <w:hyperlink r:id="rId1" w:tooltip="https://www.consultant.ru" w:history="1">
            <w:r>
              <w:rPr>
                <w:rFonts w:ascii="Tahoma" w:hAnsi="Tahoma" w:eastAsia="Tahoma" w:cs="Tahoma"/>
                <w:b w:val="0"/>
                <w:i w:val="0"/>
                <w:color w:val="0000ff"/>
                <w:sz w:val="18"/>
              </w:rPr>
              <w:t xml:space="preserve">КонсультантПлюс</w:t>
            </w:r>
          </w:hyperlink>
          <w:r>
            <w:rPr>
              <w:rFonts w:ascii="Tahoma" w:hAnsi="Tahoma" w:eastAsia="Tahoma" w:cs="Tahoma"/>
              <w:b w:val="0"/>
              <w:i w:val="0"/>
              <w:sz w:val="18"/>
            </w:rPr>
            <w:br/>
          </w:r>
          <w:r>
            <w:rPr>
              <w:rFonts w:ascii="Tahoma" w:hAnsi="Tahoma" w:eastAsia="Tahoma" w:cs="Tahoma"/>
              <w:b w:val="0"/>
              <w:i w:val="0"/>
              <w:sz w:val="16"/>
            </w:rPr>
            <w:t xml:space="preserve">Дата сохранения: 25.02.2025</w:t>
          </w:r>
          <w:r>
            <w:rPr>
              <w:rFonts w:ascii="Tahoma" w:hAnsi="Tahoma" w:eastAsia="Tahoma" w:cs="Tahoma"/>
              <w:b w:val="0"/>
              <w:i w:val="0"/>
              <w:sz w:val="16"/>
            </w:rPr>
          </w:r>
        </w:p>
      </w:tc>
    </w:tr>
  </w:tbl>
  <w:p>
    <w:pPr>
      <w:jc w:val="center"/>
      <w:spacing w:before="0" w:after="0" w:line="240" w:lineRule="auto"/>
      <w:rPr>
        <w:sz w:val="1"/>
      </w:rPr>
      <w:pBdr>
        <w:bottom w:val="single" w:color="000000" w:sz="12" w:space="0"/>
      </w:pBdr>
    </w:pPr>
    <w:r>
      <w:rPr>
        <w:sz w:val="1"/>
      </w:rPr>
    </w:r>
    <w:r>
      <w:rPr>
        <w:sz w:val="1"/>
      </w:rPr>
    </w:r>
  </w:p>
  <w:p>
    <w:pPr>
      <w:jc w:val="center"/>
      <w:spacing w:before="0" w:after="0" w:line="240" w:lineRule="auto"/>
      <w:rPr>
        <w:sz w:val="10"/>
      </w:rPr>
    </w:pPr>
    <w:r>
      <w:rPr>
        <w:sz w:val="10"/>
      </w:rPr>
      <w:t xml:space="preserve"> </w:t>
    </w:r>
    <w:r>
      <w:rPr>
        <w:sz w:val="1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757" w:default="1">
    <w:name w:val="       ConsPlusNormal"/>
    <w:pPr>
      <w:jc w:val="left"/>
      <w:spacing w:before="0" w:after="0" w:line="240" w:lineRule="auto"/>
    </w:pPr>
    <w:rPr>
      <w:rFonts w:ascii="Times New Roman" w:hAnsi="Times New Roman" w:eastAsia="Times New Roman" w:cs="Times New Roman"/>
      <w:b w:val="0"/>
      <w:i w:val="0"/>
      <w:strike w:val="0"/>
      <w:sz w:val="24"/>
    </w:rPr>
  </w:style>
  <w:style w:type="paragraph" w:styleId="758">
    <w:name w:val="       ConsPlusNonformat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759">
    <w:name w:val="       ConsPlusTitle"/>
    <w:pPr>
      <w:jc w:val="left"/>
      <w:spacing w:before="0" w:after="0" w:line="240" w:lineRule="auto"/>
    </w:pPr>
    <w:rPr>
      <w:rFonts w:ascii="Arial" w:hAnsi="Arial" w:eastAsia="Arial" w:cs="Arial"/>
      <w:b/>
      <w:i w:val="0"/>
      <w:strike w:val="0"/>
      <w:sz w:val="24"/>
    </w:rPr>
  </w:style>
  <w:style w:type="paragraph" w:styleId="760">
    <w:name w:val="       ConsPlusCell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761">
    <w:name w:val="       ConsPlusDocList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18"/>
    </w:rPr>
  </w:style>
  <w:style w:type="paragraph" w:styleId="762">
    <w:name w:val="       ConsPlusTitlePage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24"/>
    </w:rPr>
  </w:style>
  <w:style w:type="paragraph" w:styleId="763">
    <w:name w:val="       ConsPlusJurTerm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26"/>
    </w:rPr>
  </w:style>
  <w:style w:type="paragraph" w:styleId="764">
    <w:name w:val="       ConsPlusTextList"/>
    <w:pPr>
      <w:jc w:val="left"/>
      <w:spacing w:before="0" w:after="0" w:line="240" w:lineRule="auto"/>
    </w:pPr>
    <w:rPr>
      <w:rFonts w:ascii="Times New Roman" w:hAnsi="Times New Roman" w:eastAsia="Times New Roman" w:cs="Times New Roman"/>
      <w:b w:val="0"/>
      <w:i w:val="0"/>
      <w:strike w:val="0"/>
      <w:sz w:val="24"/>
    </w:rPr>
  </w:style>
  <w:style w:type="paragraph" w:styleId="765">
    <w:name w:val="       ConsPlusTextList"/>
    <w:pPr>
      <w:jc w:val="left"/>
      <w:spacing w:before="0" w:after="0" w:line="240" w:lineRule="auto"/>
    </w:pPr>
    <w:rPr>
      <w:rFonts w:ascii="Times New Roman" w:hAnsi="Times New Roman" w:eastAsia="Times New Roman" w:cs="Times New Roman"/>
      <w:b w:val="0"/>
      <w:i w:val="0"/>
      <w:strike w:val="0"/>
      <w:sz w:val="24"/>
    </w:rPr>
  </w:style>
  <w:style w:type="character" w:styleId="1533" w:default="1">
    <w:name w:val="Default Paragraph Font"/>
    <w:uiPriority w:val="1"/>
    <w:semiHidden/>
    <w:unhideWhenUsed/>
  </w:style>
  <w:style w:type="numbering" w:styleId="1534" w:default="1">
    <w:name w:val="No List"/>
    <w:uiPriority w:val="99"/>
    <w:semiHidden/>
    <w:unhideWhenUsed/>
  </w:style>
  <w:style w:type="table" w:styleId="153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города Нижневартовска от 20.02.2004 N 339(ред. от 24.05.2024)&amp;quot;О постоянно действующей муниципальной трехсторонней комиссии по регулированию социально-трудовых отношений&amp;quot;(вместе с &amp;quot;Положением о постоянно действующей муниципальной трехсторонней комиссии по регулированию социально-трудовых отношений&amp;quot;)</dc:title>
  <dc:creator/>
  <cp:revision>1</cp:revision>
  <dcterms:modified xsi:type="dcterms:W3CDTF">2025-02-25T11:16:14Z</dcterms:modified>
</cp:coreProperties>
</file>