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E8" w:rsidRDefault="0036387F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Департамент промышленности </w:t>
      </w:r>
    </w:p>
    <w:p w:rsidR="003924E8" w:rsidRDefault="0036387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Ханты-Мансийского автономного округа – Югры </w:t>
      </w:r>
    </w:p>
    <w:p w:rsidR="003924E8" w:rsidRDefault="0036387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извещает о проведении </w:t>
      </w:r>
    </w:p>
    <w:p w:rsidR="003924E8" w:rsidRDefault="0036387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окружного конкурса «Лидеры туриндустрии Югры»</w:t>
      </w:r>
    </w:p>
    <w:p w:rsidR="003924E8" w:rsidRDefault="003924E8">
      <w:pPr>
        <w:jc w:val="center"/>
        <w:rPr>
          <w:b/>
          <w:bCs/>
          <w:color w:val="000000"/>
        </w:rPr>
      </w:pPr>
    </w:p>
    <w:tbl>
      <w:tblPr>
        <w:tblW w:w="10607" w:type="dxa"/>
        <w:tblInd w:w="-740" w:type="dxa"/>
        <w:tblLayout w:type="fixed"/>
        <w:tblLook w:val="04A0" w:firstRow="1" w:lastRow="0" w:firstColumn="1" w:lastColumn="0" w:noHBand="0" w:noVBand="1"/>
      </w:tblPr>
      <w:tblGrid>
        <w:gridCol w:w="666"/>
        <w:gridCol w:w="9941"/>
      </w:tblGrid>
      <w:tr w:rsidR="003924E8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pStyle w:val="afc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widowControl w:val="0"/>
              <w:ind w:firstLine="515"/>
              <w:jc w:val="both"/>
            </w:pPr>
            <w:r>
              <w:t>С 18 августа по 1 октября 2023 года проводится окружной конкурс «Лидеры туриндустрии Югры» (далее – Конкурс).</w:t>
            </w:r>
          </w:p>
          <w:p w:rsidR="003924E8" w:rsidRDefault="0036387F">
            <w:pPr>
              <w:widowControl w:val="0"/>
              <w:ind w:firstLine="515"/>
              <w:jc w:val="both"/>
            </w:pPr>
            <w:r>
              <w:t>Конкурс проводится по следующим номинациям: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1. «Лучший туроператор по внутреннему и въездному туризму».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2. «Лучшая гостиница (отель)».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3. «Лучшая туристская база».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4. «Лучшее этнографическое стойбище».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5. «Лучшее малое средство размещения».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>6. «Лучша</w:t>
            </w:r>
            <w:r>
              <w:t xml:space="preserve">я мини-гостиница».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7. «Лучший экскурсовод (гид), гид-переводчик, инструктор-проводник».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 xml:space="preserve">8. «Лучшее телевизионное средство массовой информации в продвижении туризма».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</w:pPr>
            <w:r>
              <w:t>9. «Лучшее печатное средство массовой информации, интернет-издание в продвижении туризм</w:t>
            </w:r>
            <w:r>
              <w:t xml:space="preserve">а». </w:t>
            </w:r>
          </w:p>
        </w:tc>
      </w:tr>
      <w:tr w:rsidR="003924E8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pStyle w:val="afc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4E8" w:rsidRDefault="0036387F">
            <w:pPr>
              <w:pStyle w:val="afc"/>
              <w:ind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Конкурс проводится в два этапа:</w:t>
            </w:r>
            <w:r>
              <w:t xml:space="preserve">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  <w:rPr>
                <w:sz w:val="22"/>
                <w:szCs w:val="22"/>
              </w:rPr>
            </w:pPr>
            <w:r>
              <w:t xml:space="preserve">I этап – с 18 августа по 8 сентября 2023 года (прием и регистрация заявок); </w:t>
            </w:r>
          </w:p>
          <w:p w:rsidR="003924E8" w:rsidRDefault="0036387F">
            <w:pPr>
              <w:pStyle w:val="afc"/>
              <w:ind w:firstLine="709"/>
              <w:contextualSpacing/>
              <w:jc w:val="both"/>
              <w:rPr>
                <w:sz w:val="22"/>
                <w:szCs w:val="22"/>
              </w:rPr>
            </w:pPr>
            <w:r>
              <w:t xml:space="preserve">II этап – с 11 по 22 сентября 2023 года (рассмотрение заявок Экспертным советом по определению победителей Конкурса). 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Конкурсная документация на участие в Конкурсе предоставляется по адресу электронной почты: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depprom@admhmao.ru, либо непосредственно или почтовым отправлением по адресу: ул. Студенческая, 2, кабинет 172, г. Ханты-Мансийск, Ханты-Мансийский автономный округ </w:t>
            </w:r>
            <w:r>
              <w:t>– Югра, 628011 Управление туризма Департамента промышленности Ханты-Мансийского автономного округа – Югры.</w:t>
            </w:r>
          </w:p>
        </w:tc>
      </w:tr>
      <w:tr w:rsidR="003924E8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pStyle w:val="afc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widowControl w:val="0"/>
              <w:jc w:val="center"/>
            </w:pPr>
            <w:r>
              <w:t>Участники, номинации Конкурса</w:t>
            </w:r>
          </w:p>
          <w:p w:rsidR="003924E8" w:rsidRDefault="003924E8">
            <w:pPr>
              <w:widowControl w:val="0"/>
              <w:ind w:firstLine="709"/>
              <w:jc w:val="center"/>
            </w:pPr>
          </w:p>
          <w:p w:rsidR="003924E8" w:rsidRDefault="0036387F">
            <w:pPr>
              <w:widowControl w:val="0"/>
              <w:ind w:firstLine="709"/>
              <w:jc w:val="both"/>
            </w:pPr>
            <w:r>
              <w:t xml:space="preserve">1. Кандидат в номинации «Лучший туроператор по внутреннему и въездному туризму» – </w:t>
            </w:r>
            <w:r>
              <w:t>субъект туристской индустрии, осуществляющий туроператорскую деятельность по внутреннему и въездному туризму.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 xml:space="preserve">2. Кандидат в номинации «Лучшая гостиница (отель)» – субъект туристской  индустрии, осуществляющий деятельность по оказанию услуг по размещению в </w:t>
            </w:r>
            <w:r>
              <w:t xml:space="preserve">соответствии с видом экономической деятельности ОКВЭД </w:t>
            </w:r>
            <w:hyperlink r:id="rId6" w:tooltip="https://login.consultant.ru/link/?req=doc&amp;base=LAW&amp;n=371195&amp;date=24.02.2021&amp;dst=104312&amp;fld=134" w:history="1">
              <w:r>
                <w:rPr>
                  <w:color w:val="0000FF"/>
                </w:rPr>
                <w:t>55.10</w:t>
              </w:r>
            </w:hyperlink>
            <w:r>
              <w:t xml:space="preserve"> "Деятельность гостиниц и прочих мест для временного проживания", с номерным фондом более 50 номеров, прошедший обязательное категорирование в соответствии с </w:t>
            </w:r>
            <w:hyperlink r:id="rId7" w:tooltip="https://login.consultant.ru/link/?req=doc&amp;base=LAW&amp;n=215494&amp;date=24.02.2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14 апреля 2017 года N 447 "Об утверждении требований к антитеррористической защищенности гостиниц и иных средств р</w:t>
            </w:r>
            <w:r>
              <w:t>азмещения и формы паспорта безопасности этих объектов" (далее - постановление N 447)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3. Кандидат в номинации «Лучшая туристская база» – субъект туристской индустрии, оказывающий комплекс услуг по размещению, питанию и культурно-бытовому обслуживанию турист</w:t>
            </w:r>
            <w:r>
              <w:t>ов.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4. Кандидат в номинации «Лучшее этнографическое стойбище» – субъект туристской индустрии, оказывающий  комплекс услуг по размещению, питанию и культурно-бытовому обслуживанию туристов на объектах этнографической направленности.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 xml:space="preserve">5. Кандидат в номинации </w:t>
            </w:r>
            <w:r>
              <w:t xml:space="preserve">«Лучшее малое средство размещения» – субъект туристской индустрии, осуществляющий деятельность по оказанию услуг по размещению в соответствии с ОКВЭД </w:t>
            </w:r>
            <w:hyperlink r:id="rId8" w:tooltip="https://login.consultant.ru/link/?req=doc&amp;base=LAW&amp;n=371195&amp;date=24.02.2021&amp;dst=104310&amp;fld=134" w:history="1">
              <w:r>
                <w:rPr>
                  <w:color w:val="0000FF"/>
                </w:rPr>
                <w:t>55.1</w:t>
              </w:r>
            </w:hyperlink>
            <w:r>
              <w:t xml:space="preserve"> "Деятельность гостиниц и прочих мест для в</w:t>
            </w:r>
            <w:r>
              <w:t xml:space="preserve">ременного проживания", с номерным фондом от 16 до 50 номеров, прошедший обязательное категорирование в соответствии с </w:t>
            </w:r>
            <w:hyperlink r:id="rId9" w:tooltip="https://login.consultant.ru/link/?req=doc&amp;base=LAW&amp;n=215494&amp;date=24.02.2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N 447.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 xml:space="preserve">6. Кандидат в номинации «Лучшая мини-гостиница» – субъект туристской индустрии, </w:t>
            </w:r>
            <w:r>
              <w:lastRenderedPageBreak/>
              <w:t xml:space="preserve">оказывающий деятельность по оказанию услуг по размещению в соответствии с ОКВЭД </w:t>
            </w:r>
            <w:hyperlink r:id="rId10" w:tooltip="https://login.consultant.ru/link/?req=doc&amp;base=LAW&amp;n=371195&amp;date=24.02.2021&amp;dst=104310&amp;fld=134" w:history="1">
              <w:r>
                <w:rPr>
                  <w:color w:val="0000FF"/>
                </w:rPr>
                <w:t>55.1</w:t>
              </w:r>
            </w:hyperlink>
            <w:r>
              <w:t xml:space="preserve"> "Деятельность гостиниц и прочих мест для временного проживания", с номерным фон</w:t>
            </w:r>
            <w:r>
              <w:t xml:space="preserve">дом не более 16 номеров, прошедший обязательное категорирование в соответствии с </w:t>
            </w:r>
            <w:hyperlink r:id="rId11" w:tooltip="https://login.consultant.ru/link/?req=doc&amp;base=LAW&amp;n=215494&amp;date=24.02.2021" w:history="1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становлением</w:t>
              </w:r>
            </w:hyperlink>
            <w:r>
              <w:t xml:space="preserve"> N 447.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 xml:space="preserve">7. Кандидат в номинации «Лучший экскурсовод (гид), гид-переводчик, инструктор-проводник» – субъект туристской индустрии, являющийся профессионально подготовленным лицом (свободно владеющим иностранным языком, знание которого необходимо </w:t>
            </w:r>
            <w:r>
              <w:t>для перевода иностранным туристам), осуществляет деятельность по ознакомлению экскурсантов (туристов) с объектами показа, а также сопровождает туристов и обеспечивает их безопасность при прохождении туристских маршрутов.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7. Кандидат</w:t>
            </w:r>
            <w:r>
              <w:t xml:space="preserve"> в номинации «Лучшее телевизионное средство массовой информации в продвижении туризма» – является региональной, муниципальной негосударственной телевизионной вещательной компанией автономного округа.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8. Кандидат в номинации «Лучшее печатное средство массов</w:t>
            </w:r>
            <w:r>
              <w:t>ой информации, интернет-издание в продвижении туризма» –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собственности.</w:t>
            </w:r>
          </w:p>
        </w:tc>
      </w:tr>
      <w:tr w:rsidR="003924E8">
        <w:trPr>
          <w:trHeight w:val="129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4E8" w:rsidRDefault="0036387F">
            <w:pPr>
              <w:pStyle w:val="afc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4E8" w:rsidRDefault="0036387F">
            <w:pPr>
              <w:widowControl w:val="0"/>
              <w:jc w:val="center"/>
            </w:pPr>
            <w:r>
              <w:t>Порядок проведения Конкурса</w:t>
            </w:r>
          </w:p>
          <w:p w:rsidR="003924E8" w:rsidRDefault="003924E8">
            <w:pPr>
              <w:widowControl w:val="0"/>
              <w:ind w:firstLine="709"/>
              <w:jc w:val="both"/>
            </w:pPr>
          </w:p>
          <w:p w:rsidR="003924E8" w:rsidRDefault="0036387F">
            <w:pPr>
              <w:widowControl w:val="0"/>
              <w:ind w:firstLine="799"/>
              <w:jc w:val="both"/>
            </w:pPr>
            <w:r>
              <w:t>1.</w:t>
            </w:r>
            <w:r>
              <w:t xml:space="preserve"> Кандидаты для участия в Конкурсе предоставляют следующие документы: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1.1. Заявка Кандидата по форме, утвержденной приказом Департамента (прилагается).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1.2. Копии договоров о сотрудничестве с туристскими предприятиями автономного округа, заключенных за 2 пр</w:t>
            </w:r>
            <w:r>
              <w:t>едыдущих года и в текущем году, для Кандидатов, указанных в подпунктах 1.3.1, 1.3.3, 1.3.4, 1.3.5, 1.3.6 пункта 1.3 Положения.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1.3. Методические разработки экскурсий, где указаны: цели и задачи, их краткое содержание, основные объекты показа, целевая аудит</w:t>
            </w:r>
            <w:r>
              <w:t>ория, текст экскурсий (при наличии), для Кандидатов, указанных в подпункте 1.3.7 пункта 1.3 Положения.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1.4. Копии отзывов о работе Кандидата (при наличии), копии благодарственных писем (при наличии), информационные и рекламные материалы, проспекты (при нал</w:t>
            </w:r>
            <w:r>
              <w:t>ичии), копии свидетельств и дипломов (при наличии).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1.5. Видеоматериалы на носителях формата DVD (с приложением эфирной справки в свободной форме, подписанной руководителем организации). Формат записи AVI без сжатия, размер 720 x 576 pix. Частота ау</w:t>
            </w:r>
            <w:r>
              <w:t>диопотока 48 кГц. Каждый видеоматериал должен быть записан на диск 4,7 Гб отдельным файлом, который предоставляется с указанием СМИ, номинации премии, названием работы, Ф.И.О. автора и хронометража – для номинации, указанной в подпункте 1.3.8 пункта 1.3 По</w:t>
            </w:r>
            <w:r>
              <w:t>ложения.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1.6. Газеты, журналы, с соответствующими публикациями, статьи размещенные в интернет-изданиях, с указанием электронного адреса по номинации, указанной в подпункте 1.3.9 пункта 1.3 Положения.</w:t>
            </w:r>
          </w:p>
          <w:p w:rsidR="003924E8" w:rsidRDefault="0036387F">
            <w:pPr>
              <w:widowControl w:val="0"/>
              <w:ind w:firstLine="794"/>
              <w:jc w:val="both"/>
            </w:pPr>
            <w:r>
              <w:t>2. Ограничения участия в Конкурсе:</w:t>
            </w:r>
          </w:p>
          <w:p w:rsidR="003924E8" w:rsidRDefault="0036387F">
            <w:pPr>
              <w:widowControl w:val="0"/>
              <w:ind w:firstLine="794"/>
              <w:jc w:val="both"/>
            </w:pPr>
            <w:r>
              <w:t>2.1. Право на участие</w:t>
            </w:r>
            <w:r>
              <w:t xml:space="preserve"> в Конкурсе имеют Кандидаты, отвечающие по состоянию на 1-е число месяца подачи документов следующим требованиям:</w:t>
            </w:r>
          </w:p>
          <w:p w:rsidR="003924E8" w:rsidRDefault="0036387F">
            <w:pPr>
              <w:widowControl w:val="0"/>
              <w:ind w:firstLine="794"/>
              <w:jc w:val="both"/>
            </w:pPr>
            <w:r>
              <w:t>2.2. Не иметь неисполненной обязанности по уплате налогов, сборов, страховых взносов, пеней, штрафов, процентов, подлежащих уплате в соответст</w:t>
            </w:r>
            <w:r>
              <w:t>вии с законодательством Российской Федерации о налогах и сборах.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2.3 Кандидаты - юридические лица не должны находиться в процессе реорганизации, ликвидации, в отношении них не введена процедура банкротства, деятельность не приостановлена в порядке, предусм</w:t>
            </w:r>
            <w:r>
              <w:t>отренном законодательством Российской Федерации, а Кандидаты - индивидуальные предприниматели не должны прекратить деятельность в качестве индивидуального предпринимателя.</w:t>
            </w:r>
          </w:p>
          <w:p w:rsidR="003924E8" w:rsidRDefault="0036387F">
            <w:pPr>
              <w:widowControl w:val="0"/>
              <w:ind w:firstLine="709"/>
              <w:jc w:val="both"/>
            </w:pPr>
            <w:r>
              <w:t>2.4. Не являться иностранным юридическим лицом, а также российским юридическим лицом</w:t>
            </w:r>
            <w:r>
              <w:t>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</w:t>
            </w:r>
            <w:r>
              <w:t>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      </w:r>
          </w:p>
          <w:p w:rsidR="003924E8" w:rsidRDefault="0036387F">
            <w:pPr>
              <w:widowControl w:val="0"/>
              <w:tabs>
                <w:tab w:val="left" w:pos="795"/>
              </w:tabs>
              <w:ind w:firstLine="737"/>
              <w:jc w:val="both"/>
            </w:pPr>
            <w:r>
              <w:t>3. Департ</w:t>
            </w:r>
            <w:r>
              <w:t>амент в порядке межведомственного информационного взаимодействия, установленного законодательством Российской Федерации, в течение 5 рабочих дней со дня регистрации документов, указанных в пункте 2.2 Положения, запрашивает:</w:t>
            </w:r>
          </w:p>
          <w:p w:rsidR="003924E8" w:rsidRDefault="0036387F">
            <w:pPr>
              <w:widowControl w:val="0"/>
              <w:ind w:firstLine="737"/>
              <w:jc w:val="both"/>
            </w:pPr>
            <w:r>
              <w:t>3.1 Сведения об отсутствии неисп</w:t>
            </w:r>
            <w:r>
              <w:t>олненной обязанности по уплате налогов, сборов, страховых взносов, пеней, штрафов, процентов, подлежащих уплате согласно законодательству Российской Федерации о налогах и сборах, из Федеральной налоговой службы в отношении Кандидатов, за исключением физиче</w:t>
            </w:r>
            <w:r>
              <w:t>ских лиц;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3.2 Выписку из Единого государственного реестра юридических лиц или Единого государственного реестра индивидуальных предпринимателей из Федеральной налоговой службы;</w:t>
            </w:r>
          </w:p>
          <w:p w:rsidR="003924E8" w:rsidRDefault="0036387F">
            <w:pPr>
              <w:widowControl w:val="0"/>
              <w:ind w:firstLine="799"/>
              <w:jc w:val="both"/>
            </w:pPr>
            <w:r>
              <w:t>3.3 Сведения из Единого федерального реестра туроператоров по номинации, указанн</w:t>
            </w:r>
            <w:r>
              <w:t>ой в подпункте 1.3.1 пункта 1.3 Положения.</w:t>
            </w:r>
          </w:p>
          <w:p w:rsidR="003924E8" w:rsidRDefault="0036387F">
            <w:pPr>
              <w:widowControl w:val="0"/>
              <w:ind w:firstLine="737"/>
              <w:jc w:val="both"/>
            </w:pPr>
            <w:r>
              <w:t xml:space="preserve">4. </w:t>
            </w:r>
            <w:r>
              <w:rPr>
                <w:lang w:eastAsia="ru-RU"/>
              </w:rPr>
              <w:t>Департамент регистрирует поступившие документы в день их поступления.</w:t>
            </w:r>
          </w:p>
          <w:p w:rsidR="003924E8" w:rsidRDefault="0036387F">
            <w:pPr>
              <w:widowControl w:val="0"/>
              <w:ind w:firstLine="737"/>
              <w:jc w:val="both"/>
            </w:pPr>
            <w:r>
              <w:rPr>
                <w:lang w:eastAsia="ru-RU"/>
              </w:rPr>
              <w:t xml:space="preserve">5. </w:t>
            </w:r>
            <w:r>
              <w:t xml:space="preserve">Департамент в течении 10 рабочих дней с даты окончания приема документов, </w:t>
            </w:r>
            <w:r>
              <w:lastRenderedPageBreak/>
              <w:t>указанных в пункте 2.2 Положения, осуществляет их проверку и со</w:t>
            </w:r>
            <w:r>
              <w:t>ответствие Кандидата требованиям, определенным в подпунктах 1.4.1 — 1.4.9 пункта 1.4, пункте 1.6 Положения, и передает их секретарю экспертного совета по определению Лауреатов Конкурса (далее — экспертный совет).</w:t>
            </w:r>
          </w:p>
          <w:p w:rsidR="003924E8" w:rsidRDefault="0036387F">
            <w:pPr>
              <w:widowControl w:val="0"/>
              <w:ind w:firstLine="794"/>
              <w:jc w:val="both"/>
            </w:pPr>
            <w:r>
              <w:rPr>
                <w:lang w:eastAsia="ru-RU"/>
              </w:rPr>
              <w:t>В случае несоответствия документов перечню,</w:t>
            </w:r>
            <w:r>
              <w:rPr>
                <w:lang w:eastAsia="ru-RU"/>
              </w:rPr>
              <w:t xml:space="preserve"> установленному </w:t>
            </w:r>
            <w:r>
              <w:rPr>
                <w:color w:val="0000FF"/>
                <w:lang w:eastAsia="ru-RU"/>
              </w:rPr>
              <w:t>пунктом 2.2</w:t>
            </w:r>
            <w:r>
              <w:rPr>
                <w:lang w:eastAsia="ru-RU"/>
              </w:rPr>
              <w:t xml:space="preserve"> Положения, несоответствия Кандидата требованиям, определенным </w:t>
            </w:r>
            <w:r>
              <w:rPr>
                <w:color w:val="0000FF"/>
                <w:lang w:eastAsia="ru-RU"/>
              </w:rPr>
              <w:t>подпунктами 1.4.1</w:t>
            </w:r>
            <w:r>
              <w:rPr>
                <w:lang w:eastAsia="ru-RU"/>
              </w:rPr>
              <w:t xml:space="preserve"> - </w:t>
            </w:r>
            <w:r>
              <w:rPr>
                <w:color w:val="0000FF"/>
                <w:lang w:eastAsia="ru-RU"/>
              </w:rPr>
              <w:t>1.4.9 пункта 1.4</w:t>
            </w:r>
            <w:r>
              <w:rPr>
                <w:lang w:eastAsia="ru-RU"/>
              </w:rPr>
              <w:t xml:space="preserve"> Положения, Департамент в течение 10 рабочих дней с даты окончания проверки направляет Кандидату соответствующее уведомление об от</w:t>
            </w:r>
            <w:r>
              <w:rPr>
                <w:lang w:eastAsia="ru-RU"/>
              </w:rPr>
              <w:t>казе в участии.</w:t>
            </w:r>
          </w:p>
          <w:p w:rsidR="003924E8" w:rsidRDefault="0036387F">
            <w:pPr>
              <w:widowControl w:val="0"/>
              <w:ind w:firstLine="794"/>
              <w:jc w:val="both"/>
            </w:pPr>
            <w:r>
              <w:rPr>
                <w:lang w:eastAsia="ru-RU"/>
              </w:rPr>
              <w:t xml:space="preserve">Кандидат в срок не более 10 рабочих дней с даты получения уведомления Департамента вправе устранить замечания к документам и представить в Департамент. Регистрация исправленных документов осуществляется в соответствии с </w:t>
            </w:r>
            <w:r>
              <w:rPr>
                <w:color w:val="0000FF"/>
                <w:lang w:eastAsia="ru-RU"/>
              </w:rPr>
              <w:t>пунктом 3.1</w:t>
            </w:r>
            <w:r>
              <w:rPr>
                <w:lang w:eastAsia="ru-RU"/>
              </w:rPr>
              <w:t xml:space="preserve"> Положени</w:t>
            </w:r>
            <w:r>
              <w:rPr>
                <w:lang w:eastAsia="ru-RU"/>
              </w:rPr>
              <w:t>я.</w:t>
            </w:r>
          </w:p>
        </w:tc>
      </w:tr>
    </w:tbl>
    <w:p w:rsidR="003924E8" w:rsidRDefault="003924E8">
      <w:pPr>
        <w:jc w:val="both"/>
      </w:pPr>
    </w:p>
    <w:sectPr w:rsidR="003924E8">
      <w:pgSz w:w="11906" w:h="16838"/>
      <w:pgMar w:top="719" w:right="850" w:bottom="719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E8" w:rsidRDefault="0036387F">
      <w:r>
        <w:separator/>
      </w:r>
    </w:p>
  </w:endnote>
  <w:endnote w:type="continuationSeparator" w:id="0">
    <w:p w:rsidR="003924E8" w:rsidRDefault="0036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Bell M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icrosoft Sans Serif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E8" w:rsidRDefault="0036387F">
      <w:r>
        <w:separator/>
      </w:r>
    </w:p>
  </w:footnote>
  <w:footnote w:type="continuationSeparator" w:id="0">
    <w:p w:rsidR="003924E8" w:rsidRDefault="0036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E8"/>
    <w:rsid w:val="0036387F"/>
    <w:rsid w:val="003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727C-E057-4BAB-B32D-9B40AC3C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f7">
    <w:name w:val="Основной текст Знак"/>
    <w:qFormat/>
    <w:rPr>
      <w:sz w:val="24"/>
      <w:szCs w:val="24"/>
    </w:rPr>
  </w:style>
  <w:style w:type="character" w:customStyle="1" w:styleId="25">
    <w:name w:val="Основной текст 2 Знак"/>
    <w:qFormat/>
    <w:rPr>
      <w:sz w:val="24"/>
      <w:szCs w:val="24"/>
    </w:rPr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styleId="afc">
    <w:name w:val="Normal (Web)"/>
    <w:basedOn w:val="a"/>
    <w:qFormat/>
    <w:pPr>
      <w:spacing w:before="280" w:after="280"/>
    </w:p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26">
    <w:name w:val="Body Text 2"/>
    <w:basedOn w:val="a"/>
    <w:qFormat/>
    <w:pPr>
      <w:spacing w:after="120" w:line="480" w:lineRule="auto"/>
    </w:pPr>
  </w:style>
  <w:style w:type="paragraph" w:customStyle="1" w:styleId="aff2">
    <w:name w:val="Термин"/>
    <w:basedOn w:val="a"/>
    <w:next w:val="aff3"/>
    <w:qFormat/>
    <w:rPr>
      <w:szCs w:val="20"/>
    </w:rPr>
  </w:style>
  <w:style w:type="paragraph" w:customStyle="1" w:styleId="aff3">
    <w:name w:val="Список определений"/>
    <w:basedOn w:val="a"/>
    <w:next w:val="aff2"/>
    <w:qFormat/>
    <w:pPr>
      <w:ind w:left="360"/>
    </w:pPr>
    <w:rPr>
      <w:szCs w:val="20"/>
    </w:rPr>
  </w:style>
  <w:style w:type="paragraph" w:customStyle="1" w:styleId="14">
    <w:name w:val="Обычный1"/>
    <w:qFormat/>
    <w:rPr>
      <w:rFonts w:ascii="Arial" w:eastAsia="Times New Roman" w:hAnsi="Arial" w:cs="Arial"/>
      <w:sz w:val="18"/>
      <w:szCs w:val="20"/>
      <w:lang w:bidi="ar-SA"/>
    </w:rPr>
  </w:style>
  <w:style w:type="paragraph" w:styleId="aff4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Cs w:val="20"/>
      <w:lang w:bidi="ar-SA"/>
    </w:rPr>
  </w:style>
  <w:style w:type="paragraph" w:styleId="aff5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styleId="aff8">
    <w:name w:val="Document Map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195&amp;date=24.02.2021&amp;dst=104310&amp;f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5494&amp;date=24.02.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195&amp;date=24.02.2021&amp;dst=104312&amp;fld=134" TargetMode="External"/><Relationship Id="rId11" Type="http://schemas.openxmlformats.org/officeDocument/2006/relationships/hyperlink" Target="https://login.consultant.ru/link/?req=doc&amp;base=LAW&amp;n=215494&amp;date=24.02.2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71195&amp;date=24.02.2021&amp;dst=104310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5494&amp;date=2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VolohovaUV</dc:creator>
  <cp:lastModifiedBy>Злобина Елена Юрьевна</cp:lastModifiedBy>
  <cp:revision>2</cp:revision>
  <dcterms:created xsi:type="dcterms:W3CDTF">2023-07-24T12:46:00Z</dcterms:created>
  <dcterms:modified xsi:type="dcterms:W3CDTF">2023-07-24T12:46:00Z</dcterms:modified>
  <dc:language>ru-RU</dc:language>
</cp:coreProperties>
</file>