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О РЕЗУЛЬТАТАХ КОНТРОЛЯ 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исполнения Концессионером условий Концессионного соглашения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6521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г. Нижневартовск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______________202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2</w:t>
      </w:r>
      <w:r>
        <w:rPr>
          <w:rFonts w:ascii="Times New Roman" w:hAnsi="Times New Roman" w:eastAsia="Arial Unicode MS"/>
          <w:sz w:val="24"/>
          <w:szCs w:val="24"/>
          <w:lang w:eastAsia="en-GB"/>
        </w:rPr>
        <w:t xml:space="preserve"> г.</w:t>
      </w:r>
    </w:p>
    <w:p>
      <w:pPr>
        <w:tabs>
          <w:tab w:val="left" w:pos="6521"/>
        </w:tabs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Arial Unicode MS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униципально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город Нижневартовск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Ханты-Мансийского автономного округа - Югры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в 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лице заместителя главы города, директора департамента жилищно-коммунального хозяйства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Серикова Сергея Евгеньевича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в соответствии с 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п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остановлени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ем 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а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дминистрации города Нижневартовска от 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11.08.2017 №1233 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«О порядке взаимодействия структурных подразделений администрации города, муниципальных учреждений города Нижневартовска при заключении концессионных соглашений»,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 именуемое в дальнейшем 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«Концедент»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с одной стороны, и 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О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бщество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 с ограниченной ответственностью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 «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Нижневартовские коммунальные системы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»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в лице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лав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исполнительного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SimSun" w:cs="Times New Roman"/>
          <w:b/>
          <w:iCs/>
          <w:sz w:val="24"/>
          <w:szCs w:val="24"/>
          <w:lang w:eastAsia="ar-SA"/>
        </w:rPr>
        <w:t xml:space="preserve">- руководителя обособленного структурного подразделения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Бокова Анатолия Николаевича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ar-SA"/>
        </w:rPr>
        <w:t xml:space="preserve">доверенности №21 от 20.04.2021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именуемое в дальнейшем «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Концессионер»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, с другой стороны, далее совместно именуемые «</w:t>
      </w:r>
      <w:r>
        <w:rPr>
          <w:rFonts w:ascii="Times New Roman" w:hAnsi="Times New Roman" w:eastAsia="Arial Unicode MS" w:cs="Times New Roman"/>
          <w:b/>
          <w:sz w:val="24"/>
          <w:szCs w:val="24"/>
          <w:lang w:eastAsia="en-GB"/>
        </w:rPr>
        <w:t xml:space="preserve">Стороны</w:t>
      </w:r>
      <w:r>
        <w:rPr>
          <w:rFonts w:ascii="Times New Roman" w:hAnsi="Times New Roman" w:eastAsia="Arial Unicode MS" w:cs="Times New Roman"/>
          <w:sz w:val="24"/>
          <w:szCs w:val="24"/>
          <w:lang w:eastAsia="en-GB"/>
        </w:rPr>
        <w:t xml:space="preserve">»</w:t>
      </w:r>
      <w:r>
        <w:rPr>
          <w:rFonts w:ascii="Times New Roman" w:hAnsi="Times New Roman" w:cs="Times New Roman"/>
          <w:iCs/>
          <w:sz w:val="24"/>
          <w:szCs w:val="24"/>
        </w:rPr>
        <w:t xml:space="preserve">, составили настоящий акт об исполнении мероприятий, предусмотренных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Концессионным соглашением</w:t>
      </w:r>
      <w:r>
        <w:rPr>
          <w:rFonts w:ascii="Times New Roman" w:hAnsi="Times New Roman" w:cs="Times New Roman"/>
          <w:iCs/>
          <w:sz w:val="24"/>
          <w:szCs w:val="24"/>
        </w:rPr>
        <w:t xml:space="preserve"> в отношении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централизованных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систем</w:t>
      </w:r>
      <w:r>
        <w:rPr>
          <w:rFonts w:ascii="Times New Roman" w:hAnsi="Times New Roman" w:cs="Times New Roman"/>
          <w:iCs/>
          <w:sz w:val="24"/>
          <w:szCs w:val="24"/>
        </w:rPr>
        <w:t xml:space="preserve"> холодного водоснабжения и водоотведения, отдельных объектов таких систем муниципального образования город Нижневартовск</w:t>
      </w:r>
      <w:r>
        <w:rPr>
          <w:rFonts w:ascii="Times New Roman" w:hAnsi="Times New Roman" w:cs="Times New Roman"/>
          <w:iCs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iCs/>
          <w:sz w:val="24"/>
          <w:szCs w:val="24"/>
        </w:rPr>
        <w:t xml:space="preserve">29</w:t>
      </w:r>
      <w:r>
        <w:rPr>
          <w:rFonts w:ascii="Times New Roman" w:hAnsi="Times New Roman" w:cs="Times New Roman"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iCs/>
          <w:sz w:val="24"/>
          <w:szCs w:val="24"/>
        </w:rPr>
        <w:t xml:space="preserve">июл</w:t>
      </w:r>
      <w:r>
        <w:rPr>
          <w:rFonts w:ascii="Times New Roman" w:hAnsi="Times New Roman" w:cs="Times New Roman"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iCs/>
          <w:sz w:val="24"/>
          <w:szCs w:val="24"/>
        </w:rPr>
        <w:t xml:space="preserve">20</w:t>
      </w:r>
      <w:r>
        <w:rPr>
          <w:rFonts w:ascii="Times New Roman" w:hAnsi="Times New Roman" w:cs="Times New Roman"/>
          <w:iCs/>
          <w:sz w:val="24"/>
          <w:szCs w:val="24"/>
        </w:rPr>
        <w:t xml:space="preserve">20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г</w:t>
      </w:r>
      <w:r>
        <w:rPr>
          <w:rFonts w:ascii="Times New Roman" w:hAnsi="Times New Roman" w:cs="Times New Roman"/>
          <w:iCs/>
          <w:sz w:val="24"/>
          <w:szCs w:val="24"/>
        </w:rPr>
        <w:t xml:space="preserve">ода №</w:t>
      </w:r>
      <w:r>
        <w:rPr>
          <w:rFonts w:ascii="Times New Roman" w:hAnsi="Times New Roman" w:cs="Times New Roman"/>
          <w:iCs/>
          <w:sz w:val="24"/>
          <w:szCs w:val="24"/>
        </w:rPr>
        <w:t xml:space="preserve">4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(далее – Концессионное соглашение):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1. Проверка исполнения Концессионером условий Концессионного соглашения и использования муниципального имущества – </w:t>
      </w:r>
      <w:r>
        <w:rPr>
          <w:iCs/>
        </w:rPr>
        <w:t xml:space="preserve">о</w:t>
      </w:r>
      <w:r>
        <w:rPr>
          <w:iCs/>
        </w:rPr>
        <w:t xml:space="preserve">бъекта</w:t>
      </w:r>
      <w:r>
        <w:rPr>
          <w:iCs/>
        </w:rPr>
        <w:t xml:space="preserve"> Концессионного</w:t>
      </w:r>
      <w:r>
        <w:rPr>
          <w:iCs/>
        </w:rPr>
        <w:t xml:space="preserve"> соглашения проведена в срок с</w:t>
      </w:r>
      <w:r>
        <w:rPr>
          <w:iCs/>
        </w:rPr>
        <w:t xml:space="preserve"> </w:t>
      </w:r>
      <w:r>
        <w:rPr>
          <w:iCs/>
        </w:rPr>
        <w:t xml:space="preserve">01</w:t>
      </w:r>
      <w:r>
        <w:rPr>
          <w:iCs/>
        </w:rPr>
        <w:t xml:space="preserve">.04.202</w:t>
      </w:r>
      <w:r>
        <w:rPr>
          <w:iCs/>
        </w:rPr>
        <w:t xml:space="preserve">2</w:t>
      </w:r>
      <w:r>
        <w:rPr>
          <w:iCs/>
        </w:rPr>
        <w:t xml:space="preserve"> по </w:t>
      </w:r>
      <w:r>
        <w:rPr>
          <w:iCs/>
        </w:rPr>
        <w:t xml:space="preserve">2</w:t>
      </w:r>
      <w:r>
        <w:rPr>
          <w:iCs/>
        </w:rPr>
        <w:t xml:space="preserve">8</w:t>
      </w:r>
      <w:r>
        <w:rPr>
          <w:iCs/>
        </w:rPr>
        <w:t xml:space="preserve">.</w:t>
      </w:r>
      <w:r>
        <w:rPr>
          <w:iCs/>
        </w:rPr>
        <w:t xml:space="preserve">0</w:t>
      </w:r>
      <w:r>
        <w:rPr>
          <w:iCs/>
        </w:rPr>
        <w:t xml:space="preserve">4</w:t>
      </w:r>
      <w:r>
        <w:rPr>
          <w:iCs/>
        </w:rPr>
        <w:t xml:space="preserve">.20</w:t>
      </w:r>
      <w:r>
        <w:rPr>
          <w:iCs/>
        </w:rPr>
        <w:t xml:space="preserve">2</w:t>
      </w:r>
      <w:r>
        <w:rPr>
          <w:iCs/>
        </w:rPr>
        <w:t xml:space="preserve">2</w:t>
      </w:r>
      <w:r>
        <w:rPr>
          <w:iCs/>
        </w:rPr>
        <w:t xml:space="preserve">.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2. Проверяемый период </w:t>
      </w:r>
      <w:r>
        <w:rPr>
          <w:b/>
          <w:iCs/>
        </w:rPr>
        <w:t xml:space="preserve">20</w:t>
      </w:r>
      <w:r>
        <w:rPr>
          <w:b/>
          <w:iCs/>
        </w:rPr>
        <w:t xml:space="preserve">2</w:t>
      </w:r>
      <w:r>
        <w:rPr>
          <w:b/>
          <w:iCs/>
        </w:rPr>
        <w:t xml:space="preserve">1</w:t>
      </w:r>
      <w:r>
        <w:rPr>
          <w:b/>
          <w:iCs/>
        </w:rPr>
        <w:t xml:space="preserve"> год</w:t>
      </w:r>
      <w:r>
        <w:rPr>
          <w:iCs/>
        </w:rPr>
        <w:t xml:space="preserve">.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3. </w:t>
      </w:r>
      <w:r>
        <w:rPr>
          <w:iCs/>
        </w:rPr>
        <w:t xml:space="preserve">Цель: контроль за соблюдением </w:t>
      </w:r>
      <w:r>
        <w:rPr>
          <w:lang w:eastAsia="ar-SA"/>
        </w:rPr>
        <w:t xml:space="preserve">Концессионером</w:t>
      </w:r>
      <w:r>
        <w:rPr>
          <w:iCs/>
        </w:rPr>
        <w:t xml:space="preserve"> условий Концессионного соглашения, в том числе по осуществлению инвестиций в</w:t>
      </w:r>
      <w:r>
        <w:rPr>
          <w:iCs/>
        </w:rPr>
        <w:t xml:space="preserve"> </w:t>
      </w:r>
      <w:r>
        <w:rPr>
          <w:iCs/>
        </w:rPr>
        <w:t xml:space="preserve">реконструкцию </w:t>
      </w:r>
      <w:r>
        <w:rPr>
          <w:iCs/>
        </w:rPr>
        <w:t xml:space="preserve">О</w:t>
      </w:r>
      <w:r>
        <w:rPr>
          <w:iCs/>
        </w:rPr>
        <w:t xml:space="preserve">бъект</w:t>
      </w:r>
      <w:r>
        <w:rPr>
          <w:iCs/>
        </w:rPr>
        <w:t xml:space="preserve">а соглашения</w:t>
      </w:r>
      <w:r>
        <w:rPr>
          <w:iCs/>
        </w:rPr>
        <w:t xml:space="preserve">, осуществлению деятельности, предусмотренной Концессионным соглашением, использованию (эксплуатации) </w:t>
      </w:r>
      <w:r>
        <w:rPr>
          <w:iCs/>
        </w:rPr>
        <w:t xml:space="preserve">О</w:t>
      </w:r>
      <w:r>
        <w:rPr>
          <w:iCs/>
        </w:rPr>
        <w:t xml:space="preserve">бъекта соглашения</w:t>
      </w:r>
      <w:r>
        <w:rPr>
          <w:iCs/>
        </w:rPr>
        <w:t xml:space="preserve"> и Иного имущества</w:t>
      </w:r>
      <w:r>
        <w:rPr>
          <w:iCs/>
        </w:rPr>
        <w:t xml:space="preserve">, проверка наличия и сохранности муниципального имущества – </w:t>
      </w:r>
      <w:r>
        <w:rPr>
          <w:iCs/>
        </w:rPr>
        <w:t xml:space="preserve">О</w:t>
      </w:r>
      <w:r>
        <w:rPr>
          <w:iCs/>
        </w:rPr>
        <w:t xml:space="preserve">бъекта соглашения</w:t>
      </w:r>
      <w:r>
        <w:rPr>
          <w:iCs/>
        </w:rPr>
        <w:t xml:space="preserve"> и </w:t>
      </w:r>
      <w:r>
        <w:rPr>
          <w:iCs/>
        </w:rPr>
        <w:t xml:space="preserve">И</w:t>
      </w:r>
      <w:r>
        <w:rPr>
          <w:iCs/>
        </w:rPr>
        <w:t xml:space="preserve">ного имущества</w:t>
      </w:r>
      <w:r>
        <w:rPr>
          <w:iCs/>
        </w:rPr>
        <w:t xml:space="preserve">. 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</w:p>
    <w:p>
      <w:pPr>
        <w:pStyle w:val="af6"/>
        <w:spacing w:before="0" w:beforeAutospacing="0" w:after="0" w:afterAutospacing="0"/>
        <w:ind w:firstLine="708"/>
        <w:jc w:val="both"/>
        <w:rPr>
          <w:b/>
          <w:iCs/>
        </w:rPr>
      </w:pPr>
      <w:r>
        <w:rPr>
          <w:b/>
          <w:iCs/>
        </w:rPr>
        <w:t xml:space="preserve">Заключение: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1. </w:t>
      </w:r>
      <w:r>
        <w:rPr>
          <w:iCs/>
        </w:rPr>
        <w:t xml:space="preserve">Стороны подтверждают</w:t>
      </w:r>
      <w:r>
        <w:rPr>
          <w:iCs/>
        </w:rPr>
        <w:t xml:space="preserve"> </w:t>
      </w:r>
      <w:r>
        <w:rPr>
          <w:b/>
          <w:iCs/>
          <w:strike/>
        </w:rPr>
        <w:t xml:space="preserve">полное</w:t>
      </w:r>
      <w:r>
        <w:rPr>
          <w:b/>
          <w:iCs/>
        </w:rPr>
        <w:t xml:space="preserve">/частичное</w:t>
      </w:r>
      <w:r>
        <w:rPr>
          <w:iCs/>
        </w:rPr>
        <w:t xml:space="preserve"> выполнение</w:t>
      </w:r>
      <w:r>
        <w:rPr>
          <w:iCs/>
        </w:rPr>
        <w:t xml:space="preserve"> Концессионером мероприятий, предусмотр</w:t>
      </w:r>
      <w:r>
        <w:rPr>
          <w:iCs/>
        </w:rPr>
        <w:t xml:space="preserve">енных Концессионным соглашением</w:t>
      </w:r>
      <w:r>
        <w:rPr>
          <w:iCs/>
        </w:rPr>
        <w:t xml:space="preserve"> 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1"/>
        <w:gridCol w:w="1951"/>
        <w:gridCol w:w="1122"/>
        <w:gridCol w:w="1104"/>
        <w:gridCol w:w="1122"/>
        <w:gridCol w:w="1204"/>
        <w:gridCol w:w="1221"/>
        <w:gridCol w:w="1123"/>
      </w:tblGrid>
      <w:tr>
        <w:trPr>
          <w:trHeight w:val="797"/>
        </w:trPr>
        <w:tc>
          <w:tcPr>
            <w:tcW w:w="40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№ п/п</w:t>
            </w:r>
          </w:p>
        </w:tc>
        <w:tc>
          <w:tcPr>
            <w:tcW w:w="101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Наименование мероприятий</w:t>
            </w:r>
          </w:p>
        </w:tc>
        <w:tc>
          <w:tcPr>
            <w:tcW w:w="1157" w:type="pct"/>
            <w:gridSpan w:val="2"/>
            <w:tcBorders>
              <w:top w:val="single" w:color="auto" w:sz="8" w:space="0"/>
              <w:left w:val="none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Дата реализации мероприятий </w:t>
            </w:r>
          </w:p>
        </w:tc>
        <w:tc>
          <w:tcPr>
            <w:tcW w:w="1209" w:type="pct"/>
            <w:gridSpan w:val="2"/>
            <w:tcBorders>
              <w:top w:val="single" w:color="auto" w:sz="8" w:space="0"/>
              <w:left w:val="none"/>
              <w:bottom w:val="none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Объём выполнения мероприятий за 2021г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</w:t>
            </w:r>
          </w:p>
        </w:tc>
        <w:tc>
          <w:tcPr>
            <w:tcW w:w="635" w:type="pct"/>
            <w:vMerge w:val="restart"/>
            <w:tcBorders>
              <w:top w:val="single" w:color="auto" w:sz="8" w:space="0"/>
              <w:left w:val="none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 2020 по 2021 годы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(нарастающим итогом)</w:t>
            </w:r>
          </w:p>
        </w:tc>
        <w:tc>
          <w:tcPr>
            <w:tcW w:w="584" w:type="pc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Общ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объем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мероприяти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 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года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 КС</w:t>
            </w:r>
          </w:p>
        </w:tc>
      </w:tr>
      <w:tr>
        <w:trPr>
          <w:trHeight w:val="671"/>
        </w:trPr>
        <w:tc>
          <w:tcPr>
            <w:tcW w:w="40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" w:type="pct"/>
            <w:tcBorders>
              <w:top w:val="none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</w:t>
            </w:r>
          </w:p>
        </w:tc>
        <w:tc>
          <w:tcPr>
            <w:tcW w:w="574" w:type="pct"/>
            <w:tcBorders>
              <w:top w:val="none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вы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полнения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 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акт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выполнения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мероприятий</w:t>
            </w:r>
          </w:p>
        </w:tc>
        <w:tc>
          <w:tcPr>
            <w:tcW w:w="6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4" w:type="pct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</w:p>
        </w:tc>
      </w:tr>
      <w:tr>
        <w:trPr>
          <w:trHeight w:val="228"/>
        </w:trPr>
        <w:tc>
          <w:tcPr>
            <w:tcW w:w="5000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Мероприятия в сфере холодного водоснабжения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1.1.1.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af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сетей водоснабжения Ду≥600 мм</w:t>
            </w:r>
            <w:r>
              <w:rPr>
                <w:sz w:val="16"/>
                <w:szCs w:val="16"/>
              </w:rPr>
              <w:t xml:space="preserve"> (в том числе проектно-изыскательные и строительно-монтажные работы)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31.12.2021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</w:t>
            </w:r>
            <w:r>
              <w:rPr>
                <w:sz w:val="16"/>
                <w:szCs w:val="16"/>
              </w:rPr>
              <w:t xml:space="preserve"> выполнено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 срок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356 м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4 291 м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1.1.2.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af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сетей водоснабжения 150мм&lt;Ду&lt;600мм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(в том числе проектно-изыскательские и </w:t>
            </w:r>
            <w:r>
              <w:rPr>
                <w:sz w:val="16"/>
                <w:szCs w:val="16"/>
              </w:rPr>
              <w:t xml:space="preserve">строительно-монтажные работы)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31.12.2021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</w:t>
            </w:r>
            <w:r>
              <w:rPr>
                <w:sz w:val="16"/>
                <w:szCs w:val="16"/>
              </w:rPr>
              <w:t xml:space="preserve"> выполнено</w:t>
            </w:r>
            <w:r>
              <w:rPr>
                <w:sz w:val="16"/>
                <w:szCs w:val="16"/>
              </w:rPr>
              <w:t xml:space="preserve"> в срок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198,6 м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14 906,8 м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1.1.3.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af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сетей водоснабжения Ду≤150мм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(в том числе проектно-изыскательские и строительно-монтажные работы)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31.12.2021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</w:t>
            </w:r>
            <w:r>
              <w:rPr>
                <w:sz w:val="16"/>
                <w:szCs w:val="16"/>
              </w:rPr>
              <w:t xml:space="preserve"> выполнено</w:t>
            </w:r>
            <w:r>
              <w:rPr>
                <w:sz w:val="16"/>
                <w:szCs w:val="16"/>
              </w:rPr>
              <w:t xml:space="preserve"> в срок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50 м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25 590,04 м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1.2.4.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af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Модернизация технологической и электротехнической части на ЦТП (35 шт.)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(в том числе энергоаудит, подготовка рабочей документации и строительно-монтажные работы)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31.12.2048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</w:t>
            </w:r>
            <w:r>
              <w:rPr>
                <w:sz w:val="16"/>
                <w:szCs w:val="16"/>
              </w:rPr>
              <w:t xml:space="preserve">вы</w:t>
            </w:r>
            <w:r>
              <w:rPr>
                <w:sz w:val="16"/>
                <w:szCs w:val="16"/>
              </w:rPr>
              <w:t xml:space="preserve">полнения мероприятия не наступил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-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ЦТП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 ЦТП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35 ЦТП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2.1.1.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af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станции УФО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(в том числе проектно-изыскательские и строительно-монтажные работы)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31.12.2023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</w:t>
            </w:r>
            <w:r>
              <w:rPr>
                <w:sz w:val="16"/>
                <w:szCs w:val="16"/>
              </w:rPr>
              <w:t xml:space="preserve">вы</w:t>
            </w:r>
            <w:r>
              <w:rPr>
                <w:sz w:val="16"/>
                <w:szCs w:val="16"/>
              </w:rPr>
              <w:t xml:space="preserve">полнения мероприятия не наступил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ед.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ед.</w:t>
            </w:r>
          </w:p>
        </w:tc>
      </w:tr>
      <w:tr>
        <w:trPr>
          <w:trHeight w:val="228"/>
        </w:trPr>
        <w:tc>
          <w:tcPr>
            <w:tcW w:w="5000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Мероприятия в сфере водоотведения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  <w:t xml:space="preserve">.1.1.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af6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сетей водоотведения Ду≥800мм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(в том числе проектно-изыскательские и строительно-монтажные работы)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</w:t>
            </w:r>
            <w:r>
              <w:rPr>
                <w:sz w:val="16"/>
                <w:szCs w:val="16"/>
              </w:rPr>
              <w:t xml:space="preserve">37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</w:t>
            </w:r>
            <w:r>
              <w:rPr>
                <w:sz w:val="16"/>
                <w:szCs w:val="16"/>
              </w:rPr>
              <w:t xml:space="preserve">вы</w:t>
            </w:r>
            <w:r>
              <w:rPr>
                <w:sz w:val="16"/>
                <w:szCs w:val="16"/>
              </w:rPr>
              <w:t xml:space="preserve">полнения мероприятия не наступил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-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72,5 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**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72,5 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**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3 299,14 м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1.1.2.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af6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сетей водоотведения 300мм&lt;Ду&lt;800мм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(в том числе проектно-изыскательские и строительно-монтажные работы)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</w:t>
            </w:r>
            <w:r>
              <w:rPr>
                <w:sz w:val="16"/>
                <w:szCs w:val="16"/>
              </w:rPr>
              <w:t xml:space="preserve">48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</w:t>
            </w:r>
            <w:r>
              <w:rPr>
                <w:sz w:val="16"/>
                <w:szCs w:val="16"/>
              </w:rPr>
              <w:t xml:space="preserve">вы</w:t>
            </w:r>
            <w:r>
              <w:rPr>
                <w:sz w:val="16"/>
                <w:szCs w:val="16"/>
              </w:rPr>
              <w:t xml:space="preserve">полнения мероприятия не наступил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-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95,8 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**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95,8 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**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11 912,83 м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1.1.3.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af6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сетей водоотведения Ду≤300мм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(в том числе проектно-изыскательские и строительно-монтажные работы)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31.12.2021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</w:t>
            </w:r>
            <w:r>
              <w:rPr>
                <w:sz w:val="16"/>
                <w:szCs w:val="16"/>
              </w:rPr>
              <w:t xml:space="preserve">астичное </w:t>
            </w:r>
            <w:r>
              <w:rPr>
                <w:sz w:val="16"/>
                <w:szCs w:val="16"/>
              </w:rPr>
              <w:t xml:space="preserve">вы</w:t>
            </w:r>
            <w:r>
              <w:rPr>
                <w:sz w:val="16"/>
                <w:szCs w:val="16"/>
              </w:rPr>
              <w:t xml:space="preserve">полнение мероприятия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481,88 м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44,4 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**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44,4 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**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38 340,94 м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1.2.1.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af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</w:t>
            </w:r>
            <w:r>
              <w:rPr>
                <w:sz w:val="16"/>
                <w:szCs w:val="16"/>
              </w:rPr>
              <w:t xml:space="preserve">п</w:t>
            </w:r>
            <w:r>
              <w:rPr>
                <w:sz w:val="16"/>
                <w:szCs w:val="16"/>
              </w:rPr>
              <w:t xml:space="preserve">редпроектных и изыскательских работ по площадке КОС (здание решеток 1-й очереди, песколовки 1-й очереди, первичные отстойники 1-й очереди, аэротенк 1-й очереди, вторичные отстойники 1-й очереди, иловые площадки)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31.12.2021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не выполнено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ед.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частично выполнено*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ед.</w:t>
            </w:r>
          </w:p>
        </w:tc>
      </w:tr>
      <w:tr>
        <w:trPr>
          <w:trHeight w:val="228"/>
        </w:trPr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1.2.5.</w:t>
            </w:r>
          </w:p>
        </w:tc>
        <w:tc>
          <w:tcPr>
            <w:tcW w:w="10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af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Проектирование реконструкции КОС (стадия Ппроектная Документация + Госэкспертиза) по 1 этапу площадки КОС (здание решеток 1-й очереди, песколовки 1-й очереди, первичные отстойники 1-й очереди, аэротенк 1-й очереди, вторичные отстойники 1-й очереди, иловые площадки)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31.12.2021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af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не выполнено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ед.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ед.</w:t>
            </w:r>
          </w:p>
        </w:tc>
      </w:tr>
    </w:tbl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</w:p>
    <w:p>
      <w:pPr>
        <w:pStyle w:val="af6"/>
        <w:spacing w:before="0" w:beforeAutospacing="0" w:after="0" w:afterAutospacing="0"/>
        <w:ind w:firstLine="70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* - </w:t>
      </w:r>
      <w:r>
        <w:rPr>
          <w:iCs/>
          <w:sz w:val="20"/>
          <w:szCs w:val="20"/>
        </w:rPr>
        <w:t xml:space="preserve">частичное выполнение мероприятия </w:t>
      </w:r>
      <w:r>
        <w:rPr>
          <w:iCs/>
          <w:sz w:val="20"/>
          <w:szCs w:val="20"/>
        </w:rPr>
        <w:t xml:space="preserve">подтверждено финансирование</w:t>
      </w:r>
      <w:r>
        <w:rPr>
          <w:iCs/>
          <w:sz w:val="20"/>
          <w:szCs w:val="20"/>
        </w:rPr>
        <w:t xml:space="preserve">м</w:t>
      </w:r>
      <w:r>
        <w:rPr>
          <w:iCs/>
          <w:sz w:val="20"/>
          <w:szCs w:val="20"/>
        </w:rPr>
        <w:t xml:space="preserve">, согласно приложению 3 к акту;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** - </w:t>
      </w:r>
      <w:r>
        <w:rPr>
          <w:iCs/>
          <w:sz w:val="20"/>
          <w:szCs w:val="20"/>
        </w:rPr>
        <w:t xml:space="preserve">фактическое выполнение мероприятий подтверждается акт</w:t>
      </w:r>
      <w:r>
        <w:rPr>
          <w:iCs/>
          <w:sz w:val="20"/>
          <w:szCs w:val="20"/>
        </w:rPr>
        <w:t xml:space="preserve">ами</w:t>
      </w:r>
      <w:r>
        <w:rPr>
          <w:iCs/>
          <w:sz w:val="20"/>
          <w:szCs w:val="20"/>
        </w:rPr>
        <w:t xml:space="preserve"> приемки выполненных работ</w:t>
      </w:r>
      <w:r>
        <w:rPr>
          <w:iCs/>
          <w:sz w:val="20"/>
          <w:szCs w:val="20"/>
        </w:rPr>
        <w:t xml:space="preserve">.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</w:t>
      </w:r>
      <w:r>
        <w:rPr>
          <w:iCs/>
        </w:rPr>
        <w:t xml:space="preserve">. </w:t>
      </w:r>
      <w:r>
        <w:rPr>
          <w:iCs/>
        </w:rPr>
        <w:t xml:space="preserve">О</w:t>
      </w:r>
      <w:r>
        <w:rPr>
          <w:iCs/>
        </w:rPr>
        <w:t xml:space="preserve">бъект</w:t>
      </w:r>
      <w:r>
        <w:rPr>
          <w:iCs/>
        </w:rPr>
        <w:t xml:space="preserve">,</w:t>
      </w:r>
      <w:r>
        <w:rPr>
          <w:iCs/>
        </w:rPr>
        <w:t xml:space="preserve"> в отношении котор</w:t>
      </w:r>
      <w:r>
        <w:rPr>
          <w:iCs/>
        </w:rPr>
        <w:t xml:space="preserve">ого</w:t>
      </w:r>
      <w:r>
        <w:rPr>
          <w:iCs/>
        </w:rPr>
        <w:t xml:space="preserve"> были проведены Мероприятия, его состав и описание, включая технико-экономические показатели</w:t>
      </w:r>
      <w:r>
        <w:rPr>
          <w:iCs/>
        </w:rPr>
        <w:t xml:space="preserve"> </w:t>
      </w:r>
      <w:r>
        <w:rPr>
          <w:b/>
          <w:iCs/>
          <w:u w:val="single"/>
        </w:rPr>
        <w:t xml:space="preserve">соответствует</w:t>
      </w:r>
      <w:r>
        <w:rPr>
          <w:b/>
          <w:iCs/>
        </w:rPr>
        <w:t xml:space="preserve">/</w:t>
      </w:r>
      <w:r>
        <w:rPr>
          <w:b/>
          <w:iCs/>
          <w:strike/>
        </w:rPr>
        <w:t xml:space="preserve">не соответствует</w:t>
      </w:r>
      <w:r>
        <w:rPr>
          <w:iCs/>
        </w:rPr>
        <w:t xml:space="preserve"> целям задания и основным мероприятиям, предусмотренным Концессионным соглашением.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3</w:t>
      </w:r>
      <w:r>
        <w:rPr>
          <w:iCs/>
        </w:rPr>
        <w:t xml:space="preserve">. Концедент </w:t>
      </w:r>
      <w:r>
        <w:rPr>
          <w:b/>
          <w:iCs/>
          <w:strike/>
        </w:rPr>
        <w:t xml:space="preserve">не имеет</w:t>
      </w:r>
      <w:r>
        <w:rPr>
          <w:b/>
          <w:iCs/>
        </w:rPr>
        <w:t xml:space="preserve">/</w:t>
      </w:r>
      <w:r>
        <w:rPr>
          <w:b/>
          <w:iCs/>
          <w:u w:val="single"/>
        </w:rPr>
        <w:t xml:space="preserve">имеет</w:t>
      </w:r>
      <w:r>
        <w:rPr>
          <w:iCs/>
        </w:rPr>
        <w:t xml:space="preserve"> претензи</w:t>
      </w:r>
      <w:r>
        <w:rPr>
          <w:iCs/>
        </w:rPr>
        <w:t xml:space="preserve">и</w:t>
      </w:r>
      <w:r>
        <w:rPr>
          <w:iCs/>
        </w:rPr>
        <w:t xml:space="preserve"> к Концессионеру в части исполнения последним обязательств по </w:t>
      </w:r>
      <w:r>
        <w:rPr>
          <w:iCs/>
        </w:rPr>
        <w:t xml:space="preserve">срокам выполнения</w:t>
      </w:r>
      <w:r>
        <w:rPr>
          <w:iCs/>
        </w:rPr>
        <w:t xml:space="preserve"> Мероприяти</w:t>
      </w:r>
      <w:r>
        <w:rPr>
          <w:iCs/>
        </w:rPr>
        <w:t xml:space="preserve">й</w:t>
      </w:r>
      <w:r>
        <w:rPr>
          <w:iCs/>
        </w:rPr>
        <w:t xml:space="preserve">, достижению показателей надежности, качества и энергетической эффективности по</w:t>
      </w:r>
      <w:r>
        <w:rPr>
          <w:iCs/>
        </w:rPr>
        <w:t xml:space="preserve"> следующим</w:t>
      </w:r>
      <w:r>
        <w:rPr>
          <w:iCs/>
        </w:rPr>
        <w:t xml:space="preserve"> причинам</w:t>
      </w:r>
      <w:r>
        <w:rPr>
          <w:iCs/>
        </w:rPr>
        <w:t xml:space="preserve">: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-</w:t>
      </w:r>
      <w:r>
        <w:rPr>
          <w:iCs/>
        </w:rPr>
        <w:t xml:space="preserve"> не</w:t>
      </w:r>
      <w:r>
        <w:rPr>
          <w:iCs/>
        </w:rPr>
        <w:t xml:space="preserve"> вы</w:t>
      </w:r>
      <w:r>
        <w:rPr>
          <w:iCs/>
        </w:rPr>
        <w:t xml:space="preserve">полнен</w:t>
      </w:r>
      <w:r>
        <w:rPr>
          <w:iCs/>
        </w:rPr>
        <w:t xml:space="preserve">а часть</w:t>
      </w:r>
      <w:r>
        <w:rPr>
          <w:iCs/>
        </w:rPr>
        <w:t xml:space="preserve"> мероприяти</w:t>
      </w:r>
      <w:r>
        <w:rPr>
          <w:iCs/>
        </w:rPr>
        <w:t xml:space="preserve">й</w:t>
      </w:r>
      <w:r>
        <w:rPr>
          <w:iCs/>
        </w:rPr>
        <w:t xml:space="preserve">,</w:t>
      </w:r>
      <w:r>
        <w:rPr>
          <w:iCs/>
        </w:rPr>
        <w:t xml:space="preserve"> предусмотренны</w:t>
      </w:r>
      <w:r>
        <w:rPr>
          <w:iCs/>
        </w:rPr>
        <w:t xml:space="preserve">х</w:t>
      </w:r>
      <w:r>
        <w:rPr>
          <w:iCs/>
        </w:rPr>
        <w:t xml:space="preserve"> концессионным соглашением</w:t>
      </w:r>
      <w:r>
        <w:rPr>
          <w:iCs/>
        </w:rPr>
        <w:t xml:space="preserve">;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- </w:t>
      </w:r>
      <w:r>
        <w:rPr>
          <w:iCs/>
        </w:rPr>
        <w:t xml:space="preserve">объем инвестиций составил </w:t>
      </w:r>
      <w:r>
        <w:rPr>
          <w:iCs/>
        </w:rPr>
        <w:t xml:space="preserve">94,8</w:t>
      </w:r>
      <w:r>
        <w:rPr>
          <w:iCs/>
        </w:rPr>
        <w:t xml:space="preserve">% от планового значения</w:t>
      </w:r>
      <w:r>
        <w:rPr>
          <w:iCs/>
        </w:rPr>
        <w:t xml:space="preserve"> отчетного года</w:t>
      </w:r>
      <w:r>
        <w:rPr>
          <w:iCs/>
        </w:rPr>
        <w:t xml:space="preserve">;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- 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превысило плановое значение показателя в 2 раза;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- доля потерь воды в централизованных системах водоснабжения при транспортировке в общем объеме воды, поданной в водопроводную сеть увеличена на 2,58% от планового значения;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- </w:t>
      </w:r>
      <w:r>
        <w:rPr>
          <w:iCs/>
        </w:rPr>
        <w:t xml:space="preserve">удельное количество аварий и засоров в расчете на протяженность канализационной сети в год</w:t>
      </w:r>
      <w:r>
        <w:rPr>
          <w:iCs/>
        </w:rPr>
        <w:t xml:space="preserve"> превысил плановое значение показателя на </w:t>
      </w:r>
      <w:r>
        <w:rPr>
          <w:iCs/>
        </w:rPr>
        <w:t xml:space="preserve">11,8</w:t>
      </w:r>
      <w:r>
        <w:rPr>
          <w:iCs/>
        </w:rPr>
        <w:t xml:space="preserve">%;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- удельный расход электрической энергии, потребляемой в технологическом процессе очистки сточных вод, на единицу объема очищаемых сточных вод превысил плановое значение показателя на </w:t>
      </w:r>
      <w:r>
        <w:rPr>
          <w:iCs/>
        </w:rPr>
        <w:t xml:space="preserve">28,6</w:t>
      </w:r>
      <w:r>
        <w:rPr>
          <w:iCs/>
        </w:rPr>
        <w:t xml:space="preserve">%;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- </w:t>
      </w:r>
      <w:r>
        <w:rPr>
          <w:iCs/>
        </w:rPr>
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</w:r>
      <w:r>
        <w:rPr>
          <w:iCs/>
        </w:rPr>
        <w:t xml:space="preserve">превысил плановое значение показателя на </w:t>
      </w:r>
      <w:r>
        <w:rPr>
          <w:iCs/>
        </w:rPr>
        <w:t xml:space="preserve">6,7</w:t>
      </w:r>
      <w:r>
        <w:rPr>
          <w:iCs/>
        </w:rPr>
        <w:t xml:space="preserve">%</w:t>
      </w:r>
      <w:r>
        <w:rPr>
          <w:iCs/>
        </w:rPr>
        <w:t xml:space="preserve">.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4. Мониторинг показателей надежности</w:t>
      </w:r>
      <w:r>
        <w:rPr>
          <w:iCs/>
        </w:rPr>
        <w:t xml:space="preserve">, качества и энергетической эффективности </w:t>
      </w:r>
      <w:r>
        <w:rPr>
          <w:iCs/>
        </w:rPr>
        <w:t xml:space="preserve">О</w:t>
      </w:r>
      <w:r>
        <w:rPr>
          <w:iCs/>
        </w:rPr>
        <w:t xml:space="preserve">бъект</w:t>
      </w:r>
      <w:r>
        <w:rPr>
          <w:iCs/>
        </w:rPr>
        <w:t xml:space="preserve">а соглашения</w:t>
      </w:r>
      <w:r>
        <w:rPr>
          <w:iCs/>
        </w:rPr>
        <w:t xml:space="preserve"> приведен в приложении 1 к акту,</w:t>
      </w:r>
      <w:r>
        <w:rPr>
          <w:iCs/>
        </w:rPr>
        <w:t xml:space="preserve"> сведений, в том числе</w:t>
      </w:r>
      <w:r>
        <w:rPr>
          <w:iCs/>
        </w:rPr>
        <w:t xml:space="preserve"> долгосрочных параметров регулирования деятельности Концессионера – в приложении 2 к акту, финансировани</w:t>
      </w:r>
      <w:r>
        <w:rPr>
          <w:iCs/>
        </w:rPr>
        <w:t xml:space="preserve">я</w:t>
      </w:r>
      <w:r>
        <w:rPr>
          <w:iCs/>
        </w:rPr>
        <w:t xml:space="preserve"> мероприятий</w:t>
      </w:r>
      <w:r>
        <w:rPr>
          <w:iCs/>
        </w:rPr>
        <w:t xml:space="preserve"> по созданию и реконструкции объекта соглашения</w:t>
      </w:r>
      <w:r>
        <w:rPr>
          <w:iCs/>
        </w:rPr>
        <w:t xml:space="preserve"> – в приложении 3 к акту.</w:t>
      </w:r>
      <w:r>
        <w:rPr>
          <w:iCs/>
        </w:rPr>
        <w:t xml:space="preserve"> </w:t>
      </w:r>
    </w:p>
    <w:p>
      <w:pPr>
        <w:pStyle w:val="af6"/>
        <w:spacing w:before="0" w:beforeAutospacing="0" w:after="0" w:afterAutospacing="0"/>
        <w:ind w:firstLine="708"/>
        <w:jc w:val="both"/>
      </w:pPr>
      <w:r>
        <w:rPr>
          <w:iCs/>
        </w:rPr>
        <w:t xml:space="preserve">5</w:t>
      </w:r>
      <w:r>
        <w:rPr>
          <w:iCs/>
        </w:rPr>
        <w:t xml:space="preserve">. Настоящий акт составлен в </w:t>
      </w:r>
      <w:r>
        <w:rPr>
          <w:iCs/>
        </w:rPr>
        <w:t xml:space="preserve">2</w:t>
      </w:r>
      <w:r>
        <w:rPr>
          <w:iCs/>
        </w:rPr>
        <w:t xml:space="preserve">-х</w:t>
      </w:r>
      <w:r>
        <w:rPr>
          <w:iCs/>
        </w:rPr>
        <w:t xml:space="preserve"> экземплярах, имеющих равную юридическую силу, и вступает в силу с даты его подписания уполномоченными представителями Сторон</w:t>
      </w:r>
      <w:r>
        <w:rPr>
          <w:iCs/>
        </w:rPr>
        <w:t xml:space="preserve">.</w:t>
      </w: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</w:p>
    <w:p>
      <w:pPr>
        <w:pStyle w:val="af6"/>
        <w:spacing w:before="0" w:beforeAutospacing="0" w:after="0" w:afterAutospacing="0"/>
        <w:ind w:firstLine="708"/>
        <w:jc w:val="both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>
        <w:tc>
          <w:tcPr>
            <w:tcW w:w="4928" w:type="dxa"/>
          </w:tcPr>
          <w:p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 имени Концедента</w:t>
            </w:r>
          </w:p>
          <w:p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>
            <w:pPr>
              <w:tabs>
                <w:tab w:val="left" w:pos="426"/>
              </w:tabs>
              <w:spacing w:after="0" w:line="240" w:lineRule="auto"/>
              <w:ind w:left="1707" w:hanging="170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 имени Концессионера</w:t>
            </w:r>
          </w:p>
        </w:tc>
      </w:tr>
      <w:tr>
        <w:tc>
          <w:tcPr>
            <w:tcW w:w="4928" w:type="dxa"/>
          </w:tcPr>
          <w:p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С.Е.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Сериков</w:t>
            </w:r>
          </w:p>
        </w:tc>
        <w:tc>
          <w:tcPr>
            <w:tcW w:w="4819" w:type="dxa"/>
          </w:tcPr>
          <w:p>
            <w:pPr>
              <w:tabs>
                <w:tab w:val="left" w:pos="426"/>
              </w:tabs>
              <w:spacing w:after="0" w:line="240" w:lineRule="auto"/>
              <w:ind w:left="1707" w:hanging="170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>
            <w:pPr>
              <w:tabs>
                <w:tab w:val="left" w:pos="426"/>
              </w:tabs>
              <w:spacing w:after="0" w:line="240" w:lineRule="auto"/>
              <w:ind w:left="1707" w:hanging="1707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А.Н.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Боков </w:t>
            </w:r>
          </w:p>
        </w:tc>
      </w:tr>
      <w:tr>
        <w:tc>
          <w:tcPr>
            <w:tcW w:w="4928" w:type="dxa"/>
          </w:tcPr>
          <w:p>
            <w:pPr>
              <w:keepNext/>
              <w:keepLines/>
              <w:widowControl w:val="off"/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М. П.</w:t>
            </w:r>
          </w:p>
        </w:tc>
        <w:tc>
          <w:tcPr>
            <w:tcW w:w="4819" w:type="dxa"/>
          </w:tcPr>
          <w:p>
            <w:pPr>
              <w:keepNext/>
              <w:keepLines/>
              <w:widowControl w:val="off"/>
              <w:tabs>
                <w:tab w:val="left" w:pos="426"/>
              </w:tabs>
              <w:spacing w:after="0" w:line="240" w:lineRule="auto"/>
              <w:ind w:left="1707" w:hanging="1707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М. П.</w:t>
            </w:r>
          </w:p>
        </w:tc>
      </w:tr>
    </w:tbl>
    <w:p>
      <w:pPr>
        <w:pStyle w:val="af6"/>
        <w:spacing w:before="0" w:beforeAutospacing="0" w:after="0" w:afterAutospacing="0"/>
        <w:ind w:firstLine="709"/>
        <w:contextualSpacing/>
        <w:jc w:val="right"/>
        <w:rPr>
          <w:rStyle w:val="aa"/>
          <w:iCs/>
        </w:rPr>
      </w:pPr>
    </w:p>
    <w:sectPr>
      <w:pgSz w:w="11906" w:h="16838"/>
      <w:pgMar w:top="1134" w:right="567" w:bottom="1134" w:left="1701" w:header="720" w:footer="720" w:gutter="0"/>
      <w:pgNumType w:start="5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Arial Unicode MS">
    <w:panose1 w:val="020B06040202020202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lvlText w:val="%1."/>
      <w:lvlJc w:val="left"/>
      <w:pPr>
        <w:ind w:left="1211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>
    <w:multiLevelType w:val="hybridMultilevel"/>
    <w:lvl w:ilvl="0" w:tplc="754E9058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13F05E4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0" w:customStyle="1">
    <w:name w:val="Заголовок 2 Знак"/>
    <w:basedOn w:val="a0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1">
    <w:name w:val="Заголовок 3 Знак"/>
    <w:basedOn w:val="a0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40" w:customStyle="1">
    <w:name w:val="Заголовок 4 Знак"/>
    <w:basedOn w:val="a0"/>
    <w:link w:val="4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50" w:customStyle="1">
    <w:name w:val="Заголовок 5 Знак"/>
    <w:basedOn w:val="a0"/>
    <w:link w:val="5"/>
    <w:uiPriority w:val="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0" w:customStyle="1">
    <w:name w:val="Заголовок 6 Знак"/>
    <w:basedOn w:val="a0"/>
    <w:link w:val="6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0" w:customStyle="1">
    <w:name w:val="Заголовок 7 Знак"/>
    <w:basedOn w:val="a0"/>
    <w:link w:val="7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0" w:customStyle="1">
    <w:name w:val="Заголовок 8 Знак"/>
    <w:basedOn w:val="a0"/>
    <w:link w:val="8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0" w:customStyle="1">
    <w:name w:val="Заголовок 9 Знак"/>
    <w:basedOn w:val="a0"/>
    <w:link w:val="9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a4" w:customStyle="1">
    <w:name w:val="Заголовок Знак"/>
    <w:basedOn w:val="a0"/>
    <w:link w:val="a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6" w:customStyle="1">
    <w:name w:val="Подзаголовок Знак"/>
    <w:basedOn w:val="a0"/>
    <w:link w:val="a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styleId="22" w:customStyle="1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ac" w:customStyle="1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aliases w:val="Таблицы,ПАРАГРАФ,Абзац списка11"/>
    <w:basedOn w:val="a"/>
    <w:link w:val="af1"/>
    <w:uiPriority w:val="34"/>
    <w:qFormat/>
    <w:pPr>
      <w:ind w:left="720"/>
      <w:contextualSpacing/>
    </w:p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3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f1" w:customStyle="1">
    <w:name w:val="Абзац списка Знак"/>
    <w:aliases w:val="Таблицы Знак,ПАРАГРАФ Знак,Абзац списка11 Знак"/>
    <w:link w:val="af0"/>
    <w:uiPriority w:val="34"/>
    <w:locked/>
  </w:style>
  <w:style w:type="paragraph" w:styleId="af4" w:customStyle="1">
    <w:name w:val="Название приложения"/>
    <w:basedOn w:val="a"/>
    <w:qFormat/>
    <w:pPr>
      <w:spacing w:after="160" w:line="259" w:lineRule="auto"/>
      <w:jc w:val="center"/>
    </w:pPr>
    <w:rPr>
      <w:rFonts w:ascii="Times New Roman" w:hAnsi="Times New Roman" w:eastAsia="Calibri" w:cs="Times New Roman"/>
      <w:b/>
      <w:sz w:val="24"/>
      <w:szCs w:val="24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af5">
    <w:name w:val="Table Grid"/>
    <w:aliases w:val="Таблица НЭО,Формат таблиц для диплома,Леша,table general,Сетка таблицы2,Table,Формат таблиц для диплома1,Леша1,Таблица НЭО2,Формат таблиц для диплома2,Леша2,Таблица НЭО11,Формат таблиц для диплома11,Леша11,Таблица НЭО3,Леша3,Сетка таблицы1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9" w:customStyle="1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styleId="afb" w:customStyle="1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d" w:customStyle="1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f" w:customStyle="1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f1" w:customStyle="1">
    <w:name w:val="Нижний колонтитул Знак"/>
    <w:basedOn w:val="a0"/>
    <w:link w:val="aff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6266</Characters>
  <CharactersWithSpaces>7351</CharactersWithSpaces>
  <Company/>
  <DocSecurity>0</DocSecurity>
  <HyperlinksChanged>false</HyperlinksChanged>
  <Lines>52</Lines>
  <LinksUpToDate>false</LinksUpToDate>
  <Pages>3</Pages>
  <Paragraphs>14</Paragraphs>
  <ScaleCrop>false</ScaleCrop>
  <SharedDoc>false</SharedDoc>
  <Template>Word 2010 look</Template>
  <TotalTime>2</TotalTime>
  <Words>1099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Петровец Владимир Михайлович</dc:creator>
  <cp:keywords/>
  <dc:description/>
  <cp:lastModifiedBy>Савген Виктор Валерьевич</cp:lastModifiedBy>
  <cp:revision>3</cp:revision>
  <cp:lastPrinted>2022-05-31T07:07:00Z</cp:lastPrinted>
  <dcterms:created xsi:type="dcterms:W3CDTF">2022-06-02T12:42:00Z</dcterms:created>
  <dcterms:modified xsi:type="dcterms:W3CDTF">2022-06-02T12:48:00Z</dcterms:modified>
</cp:coreProperties>
</file>