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Pr="005E5671" w:rsidRDefault="00F97A7F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46D6C">
        <w:rPr>
          <w:sz w:val="28"/>
          <w:szCs w:val="28"/>
        </w:rPr>
        <w:t>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4D3D03" w:rsidRDefault="004D3D03" w:rsidP="00AF1D53">
      <w:pPr>
        <w:jc w:val="center"/>
        <w:rPr>
          <w:szCs w:val="24"/>
        </w:rPr>
      </w:pPr>
    </w:p>
    <w:p w:rsidR="00F97A7F" w:rsidRPr="006520D9" w:rsidRDefault="000515B9" w:rsidP="00F97A7F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F23EC2">
        <w:rPr>
          <w:sz w:val="28"/>
          <w:szCs w:val="28"/>
        </w:rPr>
        <w:t>3</w:t>
      </w:r>
      <w:r w:rsidR="00F97A7F" w:rsidRPr="00F97A7F">
        <w:rPr>
          <w:sz w:val="28"/>
          <w:szCs w:val="28"/>
        </w:rPr>
        <w:t xml:space="preserve"> </w:t>
      </w:r>
      <w:r w:rsidR="002B6748">
        <w:rPr>
          <w:sz w:val="28"/>
          <w:szCs w:val="28"/>
        </w:rPr>
        <w:t>октября</w:t>
      </w:r>
      <w:r w:rsidR="00F97A7F" w:rsidRPr="00F97A7F">
        <w:rPr>
          <w:sz w:val="28"/>
          <w:szCs w:val="28"/>
        </w:rPr>
        <w:t xml:space="preserve"> 202</w:t>
      </w:r>
      <w:r w:rsidR="007775A2">
        <w:rPr>
          <w:sz w:val="28"/>
          <w:szCs w:val="28"/>
        </w:rPr>
        <w:t>4</w:t>
      </w:r>
      <w:r w:rsidR="00F97A7F" w:rsidRPr="00F97A7F">
        <w:rPr>
          <w:sz w:val="28"/>
          <w:szCs w:val="28"/>
        </w:rPr>
        <w:t xml:space="preserve"> года</w:t>
      </w:r>
      <w:r w:rsidR="006520D9">
        <w:rPr>
          <w:sz w:val="28"/>
          <w:szCs w:val="28"/>
        </w:rPr>
        <w:t xml:space="preserve">    </w:t>
      </w:r>
      <w:r w:rsidR="00F97A7F">
        <w:rPr>
          <w:sz w:val="28"/>
          <w:szCs w:val="28"/>
        </w:rPr>
        <w:t xml:space="preserve">                                                                                       </w:t>
      </w:r>
      <w:r w:rsidR="007775A2">
        <w:rPr>
          <w:sz w:val="28"/>
          <w:szCs w:val="28"/>
        </w:rPr>
        <w:t xml:space="preserve">  </w:t>
      </w:r>
      <w:r w:rsidR="00F97A7F">
        <w:rPr>
          <w:sz w:val="28"/>
          <w:szCs w:val="28"/>
        </w:rPr>
        <w:t xml:space="preserve"> </w:t>
      </w:r>
      <w:r w:rsidR="00F97A7F" w:rsidRPr="00F97A7F">
        <w:rPr>
          <w:sz w:val="28"/>
          <w:szCs w:val="28"/>
        </w:rPr>
        <w:t xml:space="preserve"> №</w:t>
      </w:r>
      <w:r w:rsidR="007775A2">
        <w:rPr>
          <w:sz w:val="28"/>
          <w:szCs w:val="28"/>
        </w:rPr>
        <w:t>9</w:t>
      </w:r>
    </w:p>
    <w:p w:rsidR="00D849E4" w:rsidRDefault="00D849E4" w:rsidP="00D849E4">
      <w:pPr>
        <w:spacing w:before="360" w:after="120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Председательствовал: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D849E4" w:rsidRPr="00D849E4" w:rsidTr="00046B87">
        <w:tc>
          <w:tcPr>
            <w:tcW w:w="2410" w:type="dxa"/>
          </w:tcPr>
          <w:p w:rsidR="00D849E4" w:rsidRPr="00D849E4" w:rsidRDefault="00D849E4" w:rsidP="00046B8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D849E4">
              <w:rPr>
                <w:rFonts w:ascii="Times New Roman" w:eastAsia="Calibri" w:hAnsi="Times New Roman" w:cs="Times New Roman"/>
                <w:sz w:val="28"/>
                <w:szCs w:val="28"/>
              </w:rPr>
              <w:t>Ворфоломеева Любовь Яковлевна</w:t>
            </w:r>
          </w:p>
        </w:tc>
        <w:tc>
          <w:tcPr>
            <w:tcW w:w="425" w:type="dxa"/>
          </w:tcPr>
          <w:p w:rsidR="00D849E4" w:rsidRPr="00D849E4" w:rsidRDefault="00D849E4" w:rsidP="00046B8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9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D849E4" w:rsidRPr="00D849E4" w:rsidRDefault="00D849E4" w:rsidP="00046B8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9E4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пенсионер, почетный строитель России</w:t>
            </w:r>
          </w:p>
        </w:tc>
      </w:tr>
    </w:tbl>
    <w:p w:rsidR="00D849E4" w:rsidRPr="00B065B4" w:rsidRDefault="00D849E4" w:rsidP="00D849E4">
      <w:pPr>
        <w:spacing w:before="240" w:after="120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Присутствовали</w:t>
      </w:r>
      <w:r w:rsidR="00140684">
        <w:rPr>
          <w:b/>
          <w:bCs/>
          <w:sz w:val="28"/>
          <w:szCs w:val="28"/>
        </w:rPr>
        <w:t xml:space="preserve"> члены Общественного совета</w:t>
      </w:r>
      <w:r w:rsidRPr="00B065B4">
        <w:rPr>
          <w:b/>
          <w:bCs/>
          <w:sz w:val="28"/>
          <w:szCs w:val="28"/>
        </w:rPr>
        <w:t>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D849E4" w:rsidTr="00046B87">
        <w:tc>
          <w:tcPr>
            <w:tcW w:w="2410" w:type="dxa"/>
          </w:tcPr>
          <w:p w:rsidR="00D849E4" w:rsidRDefault="00D849E4" w:rsidP="00046B87">
            <w:pPr>
              <w:pStyle w:val="a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49E4">
              <w:rPr>
                <w:rFonts w:ascii="Times New Roman" w:eastAsia="Calibri" w:hAnsi="Times New Roman" w:cs="Times New Roman"/>
                <w:sz w:val="28"/>
                <w:szCs w:val="28"/>
              </w:rPr>
              <w:t>Логинова Тамара Изосимовна</w:t>
            </w:r>
          </w:p>
          <w:p w:rsidR="00D849E4" w:rsidRPr="00D849E4" w:rsidRDefault="00D849E4" w:rsidP="00D849E4">
            <w:pPr>
              <w:rPr>
                <w:lang w:eastAsia="ru-RU"/>
              </w:rPr>
            </w:pPr>
          </w:p>
        </w:tc>
        <w:tc>
          <w:tcPr>
            <w:tcW w:w="425" w:type="dxa"/>
          </w:tcPr>
          <w:p w:rsidR="00D849E4" w:rsidRPr="00495D24" w:rsidRDefault="00D849E4" w:rsidP="00046B8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D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D849E4" w:rsidRPr="00D849E4" w:rsidRDefault="00D849E4" w:rsidP="00D849E4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D849E4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</w:t>
            </w:r>
          </w:p>
        </w:tc>
      </w:tr>
      <w:tr w:rsidR="00D849E4" w:rsidTr="00046B87">
        <w:tc>
          <w:tcPr>
            <w:tcW w:w="2410" w:type="dxa"/>
          </w:tcPr>
          <w:p w:rsidR="00D849E4" w:rsidRPr="00140684" w:rsidRDefault="00140684" w:rsidP="00046B8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140684">
              <w:rPr>
                <w:rFonts w:ascii="Times New Roman" w:eastAsia="Calibri" w:hAnsi="Times New Roman" w:cs="Times New Roman"/>
                <w:sz w:val="28"/>
                <w:szCs w:val="28"/>
              </w:rPr>
              <w:t>Солосина Вера Максимовна</w:t>
            </w:r>
          </w:p>
        </w:tc>
        <w:tc>
          <w:tcPr>
            <w:tcW w:w="425" w:type="dxa"/>
          </w:tcPr>
          <w:p w:rsidR="00D849E4" w:rsidRPr="00777E3C" w:rsidRDefault="00D849E4" w:rsidP="00046B8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E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D849E4" w:rsidRPr="00140684" w:rsidRDefault="00140684" w:rsidP="00046B8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684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председатель правления Нижневартовской городской общественной организации "Культурно-просветительское общество белорусов "Белая Русь"</w:t>
            </w:r>
          </w:p>
          <w:p w:rsidR="00D849E4" w:rsidRPr="00777E3C" w:rsidRDefault="00D849E4" w:rsidP="00046B87"/>
        </w:tc>
      </w:tr>
      <w:tr w:rsidR="00D849E4" w:rsidRPr="00140684" w:rsidTr="00046B87">
        <w:tc>
          <w:tcPr>
            <w:tcW w:w="2410" w:type="dxa"/>
          </w:tcPr>
          <w:p w:rsidR="00D849E4" w:rsidRDefault="00140684" w:rsidP="00046B87">
            <w:pPr>
              <w:pStyle w:val="a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684">
              <w:rPr>
                <w:rFonts w:ascii="Times New Roman" w:eastAsia="Calibri" w:hAnsi="Times New Roman" w:cs="Times New Roman"/>
                <w:sz w:val="28"/>
                <w:szCs w:val="28"/>
              </w:rPr>
              <w:t>Хохлова Ирина Владимировна</w:t>
            </w:r>
          </w:p>
          <w:p w:rsidR="00140684" w:rsidRPr="00140684" w:rsidRDefault="00140684" w:rsidP="00140684">
            <w:pPr>
              <w:rPr>
                <w:lang w:eastAsia="ru-RU"/>
              </w:rPr>
            </w:pPr>
          </w:p>
        </w:tc>
        <w:tc>
          <w:tcPr>
            <w:tcW w:w="425" w:type="dxa"/>
          </w:tcPr>
          <w:p w:rsidR="00D849E4" w:rsidRPr="00140684" w:rsidRDefault="00D849E4" w:rsidP="00046B87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6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D849E4" w:rsidRPr="00140684" w:rsidRDefault="00140684" w:rsidP="00046B8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684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</w:t>
            </w:r>
            <w:r w:rsidR="00D849E4" w:rsidRPr="00140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49E4" w:rsidRPr="00140684" w:rsidRDefault="00D849E4" w:rsidP="00046B87">
            <w:pPr>
              <w:pStyle w:val="ae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849E4" w:rsidRDefault="00D849E4" w:rsidP="00140684">
      <w:pPr>
        <w:spacing w:before="120" w:after="120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Отсутствовали</w:t>
      </w:r>
      <w:r w:rsidR="00140684">
        <w:rPr>
          <w:b/>
          <w:bCs/>
          <w:sz w:val="28"/>
          <w:szCs w:val="28"/>
        </w:rPr>
        <w:t xml:space="preserve"> члены Общественного совета</w:t>
      </w:r>
      <w:r>
        <w:rPr>
          <w:b/>
          <w:bCs/>
          <w:sz w:val="28"/>
          <w:szCs w:val="28"/>
        </w:rPr>
        <w:t>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9459F2" w:rsidRPr="00140684" w:rsidTr="00046B87">
        <w:tc>
          <w:tcPr>
            <w:tcW w:w="2410" w:type="dxa"/>
          </w:tcPr>
          <w:p w:rsidR="009459F2" w:rsidRPr="00D849E4" w:rsidRDefault="009459F2" w:rsidP="009459F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D849E4">
              <w:rPr>
                <w:rFonts w:ascii="Times New Roman" w:eastAsia="Calibri" w:hAnsi="Times New Roman" w:cs="Times New Roman"/>
                <w:sz w:val="28"/>
                <w:szCs w:val="28"/>
              </w:rPr>
              <w:t>Меньшенин Александр Васильевич</w:t>
            </w:r>
          </w:p>
        </w:tc>
        <w:tc>
          <w:tcPr>
            <w:tcW w:w="425" w:type="dxa"/>
          </w:tcPr>
          <w:p w:rsidR="009459F2" w:rsidRPr="00495D24" w:rsidRDefault="009459F2" w:rsidP="009459F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9459F2" w:rsidRPr="00D849E4" w:rsidRDefault="009459F2" w:rsidP="009459F2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9E4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председатель правления товарищества собственников жилья "Ладья"</w:t>
            </w:r>
            <w:r w:rsidR="007569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(отпуск)</w:t>
            </w:r>
          </w:p>
          <w:p w:rsidR="009459F2" w:rsidRPr="00A2178B" w:rsidRDefault="009459F2" w:rsidP="009459F2">
            <w:pPr>
              <w:pStyle w:val="ae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459F2" w:rsidRPr="00140684" w:rsidTr="00046B87">
        <w:tc>
          <w:tcPr>
            <w:tcW w:w="2410" w:type="dxa"/>
          </w:tcPr>
          <w:p w:rsidR="009459F2" w:rsidRPr="00140684" w:rsidRDefault="009459F2" w:rsidP="009459F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140684">
              <w:rPr>
                <w:rFonts w:ascii="Times New Roman" w:eastAsia="Calibri" w:hAnsi="Times New Roman" w:cs="Times New Roman"/>
                <w:sz w:val="28"/>
                <w:szCs w:val="28"/>
              </w:rPr>
              <w:t>Шульц Любовь Георгиевна</w:t>
            </w:r>
          </w:p>
        </w:tc>
        <w:tc>
          <w:tcPr>
            <w:tcW w:w="425" w:type="dxa"/>
          </w:tcPr>
          <w:p w:rsidR="009459F2" w:rsidRPr="00140684" w:rsidRDefault="009459F2" w:rsidP="009459F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6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9459F2" w:rsidRPr="00140684" w:rsidRDefault="009459F2" w:rsidP="009459F2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684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 (отпуск)</w:t>
            </w:r>
          </w:p>
          <w:p w:rsidR="009459F2" w:rsidRPr="00140684" w:rsidRDefault="009459F2" w:rsidP="009459F2"/>
        </w:tc>
      </w:tr>
    </w:tbl>
    <w:p w:rsidR="006520D9" w:rsidRDefault="006520D9" w:rsidP="00140684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>
        <w:rPr>
          <w:sz w:val="28"/>
          <w:szCs w:val="28"/>
        </w:rPr>
        <w:t>приняли участие:</w:t>
      </w:r>
    </w:p>
    <w:p w:rsidR="006520D9" w:rsidRDefault="007775A2" w:rsidP="006520D9">
      <w:pPr>
        <w:rPr>
          <w:sz w:val="28"/>
          <w:szCs w:val="28"/>
        </w:rPr>
      </w:pPr>
      <w:r>
        <w:rPr>
          <w:sz w:val="28"/>
          <w:szCs w:val="28"/>
        </w:rPr>
        <w:t xml:space="preserve">Карелина Наталья Игоревна </w:t>
      </w:r>
      <w:r w:rsidR="006520D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исполняющий обязанности </w:t>
      </w:r>
      <w:r w:rsidR="006520D9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6520D9">
        <w:rPr>
          <w:sz w:val="28"/>
          <w:szCs w:val="28"/>
        </w:rPr>
        <w:t xml:space="preserve"> департамента финансов администрации города Нижневартовска;</w:t>
      </w:r>
    </w:p>
    <w:p w:rsidR="00005B93" w:rsidRDefault="00005B93" w:rsidP="00005B93">
      <w:pPr>
        <w:rPr>
          <w:sz w:val="28"/>
          <w:szCs w:val="28"/>
        </w:rPr>
      </w:pPr>
      <w:r>
        <w:rPr>
          <w:sz w:val="28"/>
          <w:szCs w:val="28"/>
        </w:rPr>
        <w:t>Шлемина Марина Васильевна – заместитель директора департамента финансов администрации города Нижневартовска;</w:t>
      </w:r>
    </w:p>
    <w:p w:rsidR="00005B93" w:rsidRDefault="006520D9" w:rsidP="006520D9">
      <w:pPr>
        <w:rPr>
          <w:sz w:val="28"/>
          <w:szCs w:val="28"/>
        </w:rPr>
      </w:pPr>
      <w:r>
        <w:rPr>
          <w:sz w:val="28"/>
          <w:szCs w:val="28"/>
        </w:rPr>
        <w:t>Гудкова Ирина Витальевна – заместитель начальника бюджетного управления департамента финансов администрации города Нижневартовска</w:t>
      </w:r>
      <w:r w:rsidR="00005B93">
        <w:rPr>
          <w:sz w:val="28"/>
          <w:szCs w:val="28"/>
        </w:rPr>
        <w:t>;</w:t>
      </w:r>
    </w:p>
    <w:p w:rsidR="006520D9" w:rsidRDefault="00005B93" w:rsidP="00005B93">
      <w:pPr>
        <w:rPr>
          <w:sz w:val="28"/>
          <w:szCs w:val="28"/>
        </w:rPr>
      </w:pPr>
      <w:r>
        <w:rPr>
          <w:sz w:val="28"/>
          <w:szCs w:val="28"/>
        </w:rPr>
        <w:t>Парамонова Оксана Борисовна – начальник отдела доходов департамента финансов администрации города Нижневартовска.</w:t>
      </w:r>
    </w:p>
    <w:p w:rsidR="004D3D03" w:rsidRDefault="004D3D03" w:rsidP="006520D9">
      <w:pPr>
        <w:spacing w:before="240" w:after="120"/>
        <w:rPr>
          <w:b/>
          <w:sz w:val="28"/>
          <w:szCs w:val="28"/>
        </w:rPr>
      </w:pPr>
    </w:p>
    <w:p w:rsidR="004D3D03" w:rsidRDefault="004D3D03" w:rsidP="006520D9">
      <w:pPr>
        <w:spacing w:before="240" w:after="120"/>
        <w:rPr>
          <w:b/>
          <w:sz w:val="28"/>
          <w:szCs w:val="28"/>
        </w:rPr>
      </w:pPr>
    </w:p>
    <w:p w:rsidR="004D0811" w:rsidRPr="00446D6C" w:rsidRDefault="00446D6C" w:rsidP="006520D9">
      <w:pPr>
        <w:spacing w:before="240"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lastRenderedPageBreak/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2B6748" w:rsidRDefault="004D0811" w:rsidP="002B674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D0811">
        <w:rPr>
          <w:sz w:val="28"/>
          <w:szCs w:val="28"/>
        </w:rPr>
        <w:t xml:space="preserve">. </w:t>
      </w:r>
      <w:r w:rsidR="002B6748">
        <w:rPr>
          <w:sz w:val="28"/>
          <w:szCs w:val="28"/>
        </w:rPr>
        <w:t>Рассмотрение проекта о</w:t>
      </w:r>
      <w:r w:rsidR="002B6748" w:rsidRPr="00E62D24">
        <w:rPr>
          <w:sz w:val="28"/>
          <w:szCs w:val="28"/>
        </w:rPr>
        <w:t>сновны</w:t>
      </w:r>
      <w:r w:rsidR="002B6748">
        <w:rPr>
          <w:sz w:val="28"/>
          <w:szCs w:val="28"/>
        </w:rPr>
        <w:t>х</w:t>
      </w:r>
      <w:r w:rsidR="002B6748" w:rsidRPr="00E62D24">
        <w:rPr>
          <w:sz w:val="28"/>
          <w:szCs w:val="28"/>
        </w:rPr>
        <w:t xml:space="preserve"> направлени</w:t>
      </w:r>
      <w:r w:rsidR="002B6748">
        <w:rPr>
          <w:sz w:val="28"/>
          <w:szCs w:val="28"/>
        </w:rPr>
        <w:t>й</w:t>
      </w:r>
      <w:r w:rsidR="002B6748" w:rsidRPr="00E62D24">
        <w:rPr>
          <w:sz w:val="28"/>
          <w:szCs w:val="28"/>
        </w:rPr>
        <w:t xml:space="preserve"> бюджетной и налоговой политики города Нижневартовска на 202</w:t>
      </w:r>
      <w:r w:rsidR="004E0E0D">
        <w:rPr>
          <w:sz w:val="28"/>
          <w:szCs w:val="28"/>
        </w:rPr>
        <w:t>5</w:t>
      </w:r>
      <w:r w:rsidR="002B6748" w:rsidRPr="00E62D24">
        <w:rPr>
          <w:sz w:val="28"/>
          <w:szCs w:val="28"/>
        </w:rPr>
        <w:t xml:space="preserve"> год и на плановый период 202</w:t>
      </w:r>
      <w:r w:rsidR="004E0E0D">
        <w:rPr>
          <w:sz w:val="28"/>
          <w:szCs w:val="28"/>
        </w:rPr>
        <w:t>6</w:t>
      </w:r>
      <w:r w:rsidR="002B6748" w:rsidRPr="00E62D24">
        <w:rPr>
          <w:sz w:val="28"/>
          <w:szCs w:val="28"/>
        </w:rPr>
        <w:t xml:space="preserve"> </w:t>
      </w:r>
      <w:r w:rsidR="00D15777">
        <w:rPr>
          <w:sz w:val="28"/>
          <w:szCs w:val="28"/>
        </w:rPr>
        <w:br/>
      </w:r>
      <w:r w:rsidR="002B6748" w:rsidRPr="00E62D24">
        <w:rPr>
          <w:sz w:val="28"/>
          <w:szCs w:val="28"/>
        </w:rPr>
        <w:t>и 202</w:t>
      </w:r>
      <w:r w:rsidR="004E0E0D">
        <w:rPr>
          <w:sz w:val="28"/>
          <w:szCs w:val="28"/>
        </w:rPr>
        <w:t>7</w:t>
      </w:r>
      <w:r w:rsidR="002B6748" w:rsidRPr="00E62D24">
        <w:rPr>
          <w:sz w:val="28"/>
          <w:szCs w:val="28"/>
        </w:rPr>
        <w:t xml:space="preserve"> годов</w:t>
      </w:r>
      <w:r w:rsidR="002B6748">
        <w:rPr>
          <w:sz w:val="28"/>
          <w:szCs w:val="28"/>
        </w:rPr>
        <w:t>.</w:t>
      </w:r>
    </w:p>
    <w:p w:rsidR="002B6748" w:rsidRDefault="002B6748" w:rsidP="002B674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2. Рассмотрение характеристик проекта бюджета города Нижневартовска </w:t>
      </w:r>
      <w:r w:rsidR="004E0E0D" w:rsidRPr="00E62D24">
        <w:rPr>
          <w:sz w:val="28"/>
          <w:szCs w:val="28"/>
        </w:rPr>
        <w:t>на 202</w:t>
      </w:r>
      <w:r w:rsidR="004E0E0D">
        <w:rPr>
          <w:sz w:val="28"/>
          <w:szCs w:val="28"/>
        </w:rPr>
        <w:t>5</w:t>
      </w:r>
      <w:r w:rsidR="004E0E0D" w:rsidRPr="00E62D24">
        <w:rPr>
          <w:sz w:val="28"/>
          <w:szCs w:val="28"/>
        </w:rPr>
        <w:t xml:space="preserve"> год и на плановый период 202</w:t>
      </w:r>
      <w:r w:rsidR="004E0E0D">
        <w:rPr>
          <w:sz w:val="28"/>
          <w:szCs w:val="28"/>
        </w:rPr>
        <w:t>6</w:t>
      </w:r>
      <w:r w:rsidR="004E0E0D" w:rsidRPr="00E62D24">
        <w:rPr>
          <w:sz w:val="28"/>
          <w:szCs w:val="28"/>
        </w:rPr>
        <w:t xml:space="preserve"> и 202</w:t>
      </w:r>
      <w:r w:rsidR="004E0E0D">
        <w:rPr>
          <w:sz w:val="28"/>
          <w:szCs w:val="28"/>
        </w:rPr>
        <w:t>7</w:t>
      </w:r>
      <w:r w:rsidR="004E0E0D" w:rsidRPr="00E62D24">
        <w:rPr>
          <w:sz w:val="28"/>
          <w:szCs w:val="28"/>
        </w:rPr>
        <w:t xml:space="preserve"> годов</w:t>
      </w:r>
      <w:r w:rsidR="004E0E0D">
        <w:rPr>
          <w:sz w:val="28"/>
          <w:szCs w:val="28"/>
        </w:rPr>
        <w:t>.</w:t>
      </w:r>
    </w:p>
    <w:p w:rsidR="00C668D0" w:rsidRPr="00446D6C" w:rsidRDefault="00C668D0" w:rsidP="00857B56">
      <w:pPr>
        <w:spacing w:before="240"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Слушали:</w:t>
      </w:r>
    </w:p>
    <w:p w:rsidR="002B6748" w:rsidRPr="000515B9" w:rsidRDefault="004E0E0D" w:rsidP="002B6748">
      <w:pPr>
        <w:autoSpaceDE w:val="0"/>
        <w:autoSpaceDN w:val="0"/>
        <w:adjustRightInd w:val="0"/>
        <w:rPr>
          <w:sz w:val="28"/>
          <w:szCs w:val="28"/>
        </w:rPr>
      </w:pPr>
      <w:r w:rsidRPr="000515B9">
        <w:rPr>
          <w:sz w:val="28"/>
          <w:szCs w:val="28"/>
        </w:rPr>
        <w:t>Н.И. Карелину</w:t>
      </w:r>
      <w:r w:rsidR="002B6748" w:rsidRPr="000515B9">
        <w:rPr>
          <w:sz w:val="28"/>
          <w:szCs w:val="28"/>
        </w:rPr>
        <w:t xml:space="preserve">, которая проинформировала членов совета о том, что основные направления бюджетной и налоговой политики города Нижневартовска </w:t>
      </w:r>
      <w:r w:rsidRPr="000515B9">
        <w:rPr>
          <w:sz w:val="28"/>
          <w:szCs w:val="28"/>
        </w:rPr>
        <w:t xml:space="preserve">на 2025 год и на плановый период 2026 и 2027 годов </w:t>
      </w:r>
      <w:r w:rsidR="002B6748" w:rsidRPr="000515B9">
        <w:rPr>
          <w:sz w:val="28"/>
          <w:szCs w:val="28"/>
        </w:rPr>
        <w:t xml:space="preserve">разработаны в соответствии со статьей 172 Бюджетного кодекса Российской Федерации и являются основой формирования проекта бюджета города </w:t>
      </w:r>
      <w:r w:rsidR="000515B9" w:rsidRPr="000515B9">
        <w:rPr>
          <w:sz w:val="28"/>
          <w:szCs w:val="28"/>
        </w:rPr>
        <w:br/>
      </w:r>
      <w:r w:rsidR="002B6748" w:rsidRPr="000515B9">
        <w:rPr>
          <w:sz w:val="28"/>
          <w:szCs w:val="28"/>
        </w:rPr>
        <w:t>на очередной финансовый год и на плановый период, а также определяют цели и приоритеты бюджетной и налоговой политики города на трехлетний период.</w:t>
      </w:r>
    </w:p>
    <w:p w:rsidR="000515B9" w:rsidRDefault="002B6748" w:rsidP="00053841">
      <w:pPr>
        <w:rPr>
          <w:sz w:val="28"/>
          <w:szCs w:val="28"/>
        </w:rPr>
      </w:pPr>
      <w:r w:rsidRPr="000515B9">
        <w:rPr>
          <w:sz w:val="28"/>
          <w:szCs w:val="28"/>
        </w:rPr>
        <w:t>В настоящее время процесс формирования проекта бюджета города Нижневартовска на 202</w:t>
      </w:r>
      <w:r w:rsidR="000515B9" w:rsidRPr="000515B9">
        <w:rPr>
          <w:sz w:val="28"/>
          <w:szCs w:val="28"/>
        </w:rPr>
        <w:t>5</w:t>
      </w:r>
      <w:r w:rsidRPr="000515B9">
        <w:rPr>
          <w:sz w:val="28"/>
          <w:szCs w:val="28"/>
        </w:rPr>
        <w:t xml:space="preserve"> год и на плановый период 202</w:t>
      </w:r>
      <w:r w:rsidR="000515B9" w:rsidRPr="000515B9">
        <w:rPr>
          <w:sz w:val="28"/>
          <w:szCs w:val="28"/>
        </w:rPr>
        <w:t>6</w:t>
      </w:r>
      <w:r w:rsidRPr="000515B9">
        <w:rPr>
          <w:sz w:val="28"/>
          <w:szCs w:val="28"/>
        </w:rPr>
        <w:t xml:space="preserve"> и 202</w:t>
      </w:r>
      <w:r w:rsidR="000515B9" w:rsidRPr="000515B9">
        <w:rPr>
          <w:sz w:val="28"/>
          <w:szCs w:val="28"/>
        </w:rPr>
        <w:t>7</w:t>
      </w:r>
      <w:r w:rsidRPr="000515B9">
        <w:rPr>
          <w:sz w:val="28"/>
          <w:szCs w:val="28"/>
        </w:rPr>
        <w:t xml:space="preserve"> годов близится к завершению</w:t>
      </w:r>
      <w:r w:rsidR="00053841" w:rsidRPr="000515B9">
        <w:rPr>
          <w:sz w:val="28"/>
          <w:szCs w:val="28"/>
        </w:rPr>
        <w:t>.</w:t>
      </w:r>
      <w:r w:rsidR="00857B56" w:rsidRPr="000515B9">
        <w:rPr>
          <w:sz w:val="28"/>
          <w:szCs w:val="28"/>
        </w:rPr>
        <w:t xml:space="preserve"> </w:t>
      </w:r>
    </w:p>
    <w:p w:rsidR="000515B9" w:rsidRDefault="000515B9" w:rsidP="00053841">
      <w:pPr>
        <w:rPr>
          <w:bCs/>
          <w:sz w:val="28"/>
          <w:szCs w:val="28"/>
        </w:rPr>
      </w:pPr>
      <w:r w:rsidRPr="004B5EF5">
        <w:rPr>
          <w:bCs/>
          <w:sz w:val="28"/>
          <w:szCs w:val="28"/>
        </w:rPr>
        <w:t xml:space="preserve">На 2025-2027 годы ключевыми приоритетами бюджетной и налоговой политики города являются достижение национальных целей развития </w:t>
      </w:r>
      <w:r>
        <w:rPr>
          <w:bCs/>
          <w:sz w:val="28"/>
          <w:szCs w:val="28"/>
        </w:rPr>
        <w:t xml:space="preserve">Российской Федерации, направленных на </w:t>
      </w:r>
      <w:r w:rsidRPr="00576A8F">
        <w:rPr>
          <w:bCs/>
          <w:sz w:val="28"/>
          <w:szCs w:val="28"/>
        </w:rPr>
        <w:t>повышение уровня жизни граждан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 xml:space="preserve">и </w:t>
      </w:r>
      <w:r w:rsidRPr="00576A8F">
        <w:rPr>
          <w:bCs/>
          <w:sz w:val="28"/>
          <w:szCs w:val="28"/>
        </w:rPr>
        <w:t>создание комфортн</w:t>
      </w:r>
      <w:r>
        <w:rPr>
          <w:bCs/>
          <w:sz w:val="28"/>
          <w:szCs w:val="28"/>
        </w:rPr>
        <w:t xml:space="preserve">ой и безопасной среды для их проживания, сохранение </w:t>
      </w:r>
      <w:r w:rsidRPr="00576A8F">
        <w:rPr>
          <w:bCs/>
          <w:sz w:val="28"/>
          <w:szCs w:val="28"/>
        </w:rPr>
        <w:t>финансовой устойчивости и сбалансированности бюджета города</w:t>
      </w:r>
      <w:r>
        <w:rPr>
          <w:bCs/>
          <w:sz w:val="28"/>
          <w:szCs w:val="28"/>
        </w:rPr>
        <w:t>, увеличение доходного потенциала бюджета города и создание условий для устойчивого социально-экономического развития города.</w:t>
      </w:r>
    </w:p>
    <w:p w:rsidR="00053841" w:rsidRPr="004B1B57" w:rsidRDefault="00053841" w:rsidP="00857B56">
      <w:pPr>
        <w:rPr>
          <w:sz w:val="28"/>
          <w:szCs w:val="28"/>
        </w:rPr>
      </w:pPr>
      <w:r w:rsidRPr="004B1B57">
        <w:rPr>
          <w:sz w:val="28"/>
          <w:szCs w:val="28"/>
        </w:rPr>
        <w:t>В основу формирования бюджета города на предстоящую трехлетку положены сценарные условия базового варианта прогноза социально-экономического развития города Нижневартовска на 202</w:t>
      </w:r>
      <w:r w:rsidR="004B1B57" w:rsidRPr="004B1B57">
        <w:rPr>
          <w:sz w:val="28"/>
          <w:szCs w:val="28"/>
        </w:rPr>
        <w:t>5</w:t>
      </w:r>
      <w:r w:rsidRPr="004B1B57">
        <w:rPr>
          <w:sz w:val="28"/>
          <w:szCs w:val="28"/>
        </w:rPr>
        <w:t xml:space="preserve"> год и на плановый период 202</w:t>
      </w:r>
      <w:r w:rsidR="004B1B57" w:rsidRPr="004B1B57">
        <w:rPr>
          <w:sz w:val="28"/>
          <w:szCs w:val="28"/>
        </w:rPr>
        <w:t>6</w:t>
      </w:r>
      <w:r w:rsidRPr="004B1B57">
        <w:rPr>
          <w:sz w:val="28"/>
          <w:szCs w:val="28"/>
        </w:rPr>
        <w:t xml:space="preserve"> и 202</w:t>
      </w:r>
      <w:r w:rsidR="004B1B57" w:rsidRPr="004B1B57">
        <w:rPr>
          <w:sz w:val="28"/>
          <w:szCs w:val="28"/>
        </w:rPr>
        <w:t>7</w:t>
      </w:r>
      <w:r w:rsidRPr="004B1B57">
        <w:rPr>
          <w:sz w:val="28"/>
          <w:szCs w:val="28"/>
        </w:rPr>
        <w:t xml:space="preserve"> годов.</w:t>
      </w:r>
    </w:p>
    <w:p w:rsidR="002B6748" w:rsidRPr="004B1B57" w:rsidRDefault="002B6748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B1B57">
        <w:rPr>
          <w:sz w:val="28"/>
          <w:szCs w:val="28"/>
        </w:rPr>
        <w:t>Доходы бюджета города на текущую дату спрогнозированы на 202</w:t>
      </w:r>
      <w:r w:rsidR="004B1B57" w:rsidRPr="004B1B57">
        <w:rPr>
          <w:sz w:val="28"/>
          <w:szCs w:val="28"/>
        </w:rPr>
        <w:t xml:space="preserve">5 </w:t>
      </w:r>
      <w:r w:rsidRPr="004B1B57">
        <w:rPr>
          <w:sz w:val="28"/>
          <w:szCs w:val="28"/>
        </w:rPr>
        <w:t xml:space="preserve">год </w:t>
      </w:r>
      <w:r w:rsidR="004B1B57" w:rsidRPr="004B1B57">
        <w:rPr>
          <w:sz w:val="28"/>
          <w:szCs w:val="28"/>
        </w:rPr>
        <w:br/>
      </w:r>
      <w:r w:rsidRPr="004B1B57">
        <w:rPr>
          <w:sz w:val="28"/>
          <w:szCs w:val="28"/>
        </w:rPr>
        <w:t>в сумме 2</w:t>
      </w:r>
      <w:r w:rsidR="004B1B57" w:rsidRPr="004B1B57">
        <w:rPr>
          <w:sz w:val="28"/>
          <w:szCs w:val="28"/>
        </w:rPr>
        <w:t>8</w:t>
      </w:r>
      <w:r w:rsidRPr="004B1B57">
        <w:rPr>
          <w:sz w:val="28"/>
          <w:szCs w:val="28"/>
        </w:rPr>
        <w:t xml:space="preserve"> млрд. </w:t>
      </w:r>
      <w:r w:rsidR="004B1B57" w:rsidRPr="004B1B57">
        <w:rPr>
          <w:sz w:val="28"/>
          <w:szCs w:val="28"/>
        </w:rPr>
        <w:t xml:space="preserve">920 </w:t>
      </w:r>
      <w:r w:rsidRPr="004B1B57">
        <w:rPr>
          <w:sz w:val="28"/>
          <w:szCs w:val="28"/>
        </w:rPr>
        <w:t>млн. рублей, на 202</w:t>
      </w:r>
      <w:r w:rsidR="004B1B57" w:rsidRPr="004B1B57">
        <w:rPr>
          <w:sz w:val="28"/>
          <w:szCs w:val="28"/>
        </w:rPr>
        <w:t>6</w:t>
      </w:r>
      <w:r w:rsidRPr="004B1B57">
        <w:rPr>
          <w:sz w:val="28"/>
          <w:szCs w:val="28"/>
        </w:rPr>
        <w:t xml:space="preserve"> год – 2</w:t>
      </w:r>
      <w:r w:rsidR="004B1B57" w:rsidRPr="004B1B57">
        <w:rPr>
          <w:sz w:val="28"/>
          <w:szCs w:val="28"/>
        </w:rPr>
        <w:t>7</w:t>
      </w:r>
      <w:r w:rsidRPr="004B1B57">
        <w:rPr>
          <w:sz w:val="28"/>
          <w:szCs w:val="28"/>
        </w:rPr>
        <w:t xml:space="preserve"> млрд. </w:t>
      </w:r>
      <w:r w:rsidR="004B1B57" w:rsidRPr="004B1B57">
        <w:rPr>
          <w:sz w:val="28"/>
          <w:szCs w:val="28"/>
        </w:rPr>
        <w:t>67</w:t>
      </w:r>
      <w:r w:rsidR="00857B56" w:rsidRPr="004B1B57">
        <w:rPr>
          <w:sz w:val="28"/>
          <w:szCs w:val="28"/>
        </w:rPr>
        <w:t>2</w:t>
      </w:r>
      <w:r w:rsidRPr="004B1B57">
        <w:rPr>
          <w:sz w:val="28"/>
          <w:szCs w:val="28"/>
        </w:rPr>
        <w:t xml:space="preserve"> млн. рублей, </w:t>
      </w:r>
      <w:r w:rsidR="004B1B57" w:rsidRPr="004B1B57">
        <w:rPr>
          <w:sz w:val="28"/>
          <w:szCs w:val="28"/>
        </w:rPr>
        <w:br/>
      </w:r>
      <w:r w:rsidRPr="004B1B57">
        <w:rPr>
          <w:sz w:val="28"/>
          <w:szCs w:val="28"/>
        </w:rPr>
        <w:t>на 202</w:t>
      </w:r>
      <w:r w:rsidR="004B1B57" w:rsidRPr="004B1B57">
        <w:rPr>
          <w:sz w:val="28"/>
          <w:szCs w:val="28"/>
        </w:rPr>
        <w:t>7</w:t>
      </w:r>
      <w:r w:rsidR="00857B56" w:rsidRPr="004B1B57">
        <w:rPr>
          <w:sz w:val="28"/>
          <w:szCs w:val="28"/>
        </w:rPr>
        <w:t xml:space="preserve"> год – 2</w:t>
      </w:r>
      <w:r w:rsidR="004B1B57" w:rsidRPr="004B1B57">
        <w:rPr>
          <w:sz w:val="28"/>
          <w:szCs w:val="28"/>
        </w:rPr>
        <w:t>7</w:t>
      </w:r>
      <w:r w:rsidRPr="004B1B57">
        <w:rPr>
          <w:sz w:val="28"/>
          <w:szCs w:val="28"/>
        </w:rPr>
        <w:t xml:space="preserve"> млрд. </w:t>
      </w:r>
      <w:r w:rsidR="004B1B57" w:rsidRPr="004B1B57">
        <w:rPr>
          <w:sz w:val="28"/>
          <w:szCs w:val="28"/>
        </w:rPr>
        <w:t>31</w:t>
      </w:r>
      <w:r w:rsidR="00857B56" w:rsidRPr="004B1B57">
        <w:rPr>
          <w:sz w:val="28"/>
          <w:szCs w:val="28"/>
        </w:rPr>
        <w:t xml:space="preserve"> млн. рублей. </w:t>
      </w:r>
    </w:p>
    <w:p w:rsidR="00866596" w:rsidRPr="00834B7A" w:rsidRDefault="00866596" w:rsidP="00866596">
      <w:pPr>
        <w:rPr>
          <w:sz w:val="28"/>
          <w:szCs w:val="28"/>
        </w:rPr>
      </w:pPr>
      <w:r w:rsidRPr="00834B7A">
        <w:rPr>
          <w:sz w:val="28"/>
          <w:szCs w:val="28"/>
        </w:rPr>
        <w:t xml:space="preserve">Структура доходной части бюджета на предстоящие три года не меняется, по-прежнему преобладающими являются безвозмездные поступления, которые составляют </w:t>
      </w:r>
      <w:r w:rsidR="00834B7A" w:rsidRPr="00834B7A">
        <w:rPr>
          <w:sz w:val="28"/>
          <w:szCs w:val="28"/>
        </w:rPr>
        <w:t>57</w:t>
      </w:r>
      <w:r w:rsidRPr="00834B7A">
        <w:rPr>
          <w:sz w:val="28"/>
          <w:szCs w:val="28"/>
        </w:rPr>
        <w:t>% всех доходов бюджета в 202</w:t>
      </w:r>
      <w:r w:rsidR="00834B7A" w:rsidRPr="00834B7A">
        <w:rPr>
          <w:sz w:val="28"/>
          <w:szCs w:val="28"/>
        </w:rPr>
        <w:t>5</w:t>
      </w:r>
      <w:r w:rsidRPr="00834B7A">
        <w:rPr>
          <w:sz w:val="28"/>
          <w:szCs w:val="28"/>
        </w:rPr>
        <w:t xml:space="preserve"> году или 16 млрд. </w:t>
      </w:r>
      <w:r w:rsidR="00834B7A" w:rsidRPr="00834B7A">
        <w:rPr>
          <w:sz w:val="28"/>
          <w:szCs w:val="28"/>
        </w:rPr>
        <w:t>486</w:t>
      </w:r>
      <w:r w:rsidRPr="00834B7A">
        <w:rPr>
          <w:sz w:val="28"/>
          <w:szCs w:val="28"/>
        </w:rPr>
        <w:t xml:space="preserve"> млн. рублей, в плановом периоде варьируют </w:t>
      </w:r>
      <w:r w:rsidR="00834B7A" w:rsidRPr="00834B7A">
        <w:rPr>
          <w:sz w:val="28"/>
          <w:szCs w:val="28"/>
        </w:rPr>
        <w:t>56</w:t>
      </w:r>
      <w:r w:rsidRPr="00834B7A">
        <w:rPr>
          <w:sz w:val="28"/>
          <w:szCs w:val="28"/>
        </w:rPr>
        <w:t xml:space="preserve">% – </w:t>
      </w:r>
      <w:r w:rsidR="00834B7A" w:rsidRPr="00834B7A">
        <w:rPr>
          <w:sz w:val="28"/>
          <w:szCs w:val="28"/>
        </w:rPr>
        <w:t>54</w:t>
      </w:r>
      <w:r w:rsidRPr="00834B7A">
        <w:rPr>
          <w:sz w:val="28"/>
          <w:szCs w:val="28"/>
        </w:rPr>
        <w:t>%</w:t>
      </w:r>
      <w:r w:rsidRPr="00834B7A">
        <w:rPr>
          <w:i/>
          <w:sz w:val="28"/>
          <w:szCs w:val="28"/>
        </w:rPr>
        <w:t>.</w:t>
      </w:r>
    </w:p>
    <w:p w:rsidR="00866596" w:rsidRPr="008B05B3" w:rsidRDefault="00866596" w:rsidP="008665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B05B3">
        <w:rPr>
          <w:sz w:val="28"/>
          <w:szCs w:val="28"/>
        </w:rPr>
        <w:t xml:space="preserve">Основные поступления собственных доходов, </w:t>
      </w:r>
      <w:r w:rsidR="008B05B3" w:rsidRPr="008B05B3">
        <w:rPr>
          <w:sz w:val="28"/>
          <w:szCs w:val="28"/>
        </w:rPr>
        <w:t>по-прежнему</w:t>
      </w:r>
      <w:r w:rsidRPr="008B05B3">
        <w:rPr>
          <w:sz w:val="28"/>
          <w:szCs w:val="28"/>
        </w:rPr>
        <w:t xml:space="preserve"> ожидаются за счет налога на доходы физических лиц, налогов на совокупный доход, налогов на имущество, доходов от имущества, находящегося в государственной </w:t>
      </w:r>
      <w:r w:rsidR="003B39D1">
        <w:rPr>
          <w:sz w:val="28"/>
          <w:szCs w:val="28"/>
        </w:rPr>
        <w:br/>
      </w:r>
      <w:r w:rsidRPr="008B05B3">
        <w:rPr>
          <w:sz w:val="28"/>
          <w:szCs w:val="28"/>
        </w:rPr>
        <w:t xml:space="preserve">и муниципальной собственности, совокупная доля которых формирует 98% </w:t>
      </w:r>
      <w:r w:rsidR="003B39D1">
        <w:rPr>
          <w:sz w:val="28"/>
          <w:szCs w:val="28"/>
        </w:rPr>
        <w:br/>
      </w:r>
      <w:r w:rsidRPr="008B05B3">
        <w:rPr>
          <w:sz w:val="28"/>
          <w:szCs w:val="28"/>
        </w:rPr>
        <w:t>от общей суммы собственных доходов в 202</w:t>
      </w:r>
      <w:r w:rsidR="008B05B3" w:rsidRPr="008B05B3">
        <w:rPr>
          <w:sz w:val="28"/>
          <w:szCs w:val="28"/>
        </w:rPr>
        <w:t xml:space="preserve">5 </w:t>
      </w:r>
      <w:r w:rsidRPr="008B05B3">
        <w:rPr>
          <w:sz w:val="28"/>
          <w:szCs w:val="28"/>
        </w:rPr>
        <w:t>– 202</w:t>
      </w:r>
      <w:r w:rsidR="008B05B3" w:rsidRPr="008B05B3">
        <w:rPr>
          <w:sz w:val="28"/>
          <w:szCs w:val="28"/>
        </w:rPr>
        <w:t>7</w:t>
      </w:r>
      <w:r w:rsidRPr="008B05B3">
        <w:rPr>
          <w:sz w:val="28"/>
          <w:szCs w:val="28"/>
        </w:rPr>
        <w:t xml:space="preserve"> годах. </w:t>
      </w:r>
    </w:p>
    <w:p w:rsidR="00857B56" w:rsidRPr="0098424E" w:rsidRDefault="0098424E" w:rsidP="002B6748">
      <w:pPr>
        <w:widowControl w:val="0"/>
        <w:autoSpaceDE w:val="0"/>
        <w:autoSpaceDN w:val="0"/>
        <w:adjustRightInd w:val="0"/>
        <w:rPr>
          <w:rFonts w:cstheme="minorBidi"/>
          <w:bCs/>
          <w:sz w:val="28"/>
          <w:szCs w:val="28"/>
        </w:rPr>
      </w:pPr>
      <w:r w:rsidRPr="0098424E">
        <w:rPr>
          <w:rFonts w:eastAsia="Times New Roman"/>
          <w:sz w:val="28"/>
          <w:szCs w:val="28"/>
          <w:lang w:eastAsia="ru-RU"/>
        </w:rPr>
        <w:t>При формировании</w:t>
      </w:r>
      <w:r w:rsidR="002B6748" w:rsidRPr="0098424E">
        <w:rPr>
          <w:rFonts w:eastAsia="Times New Roman"/>
          <w:sz w:val="28"/>
          <w:szCs w:val="28"/>
          <w:lang w:eastAsia="ru-RU"/>
        </w:rPr>
        <w:t xml:space="preserve"> расходной части бюджета в качестве </w:t>
      </w:r>
      <w:r w:rsidR="002B6748" w:rsidRPr="009842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"</w:t>
      </w:r>
      <w:r w:rsidR="002B6748" w:rsidRPr="0098424E">
        <w:rPr>
          <w:rFonts w:eastAsia="Times New Roman"/>
          <w:sz w:val="28"/>
          <w:szCs w:val="28"/>
          <w:lang w:eastAsia="ru-RU"/>
        </w:rPr>
        <w:t>базовых</w:t>
      </w:r>
      <w:r w:rsidR="002B6748" w:rsidRPr="009842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"</w:t>
      </w:r>
      <w:r w:rsidR="002B6748" w:rsidRPr="0098424E">
        <w:rPr>
          <w:rFonts w:eastAsia="Times New Roman"/>
          <w:sz w:val="28"/>
          <w:szCs w:val="28"/>
          <w:lang w:eastAsia="ru-RU"/>
        </w:rPr>
        <w:t xml:space="preserve"> объемов бюджетных ассигнований на 202</w:t>
      </w:r>
      <w:r w:rsidRPr="0098424E">
        <w:rPr>
          <w:rFonts w:eastAsia="Times New Roman"/>
          <w:sz w:val="28"/>
          <w:szCs w:val="28"/>
          <w:lang w:eastAsia="ru-RU"/>
        </w:rPr>
        <w:t>5</w:t>
      </w:r>
      <w:r w:rsidR="002B6748" w:rsidRPr="0098424E">
        <w:rPr>
          <w:rFonts w:eastAsia="Times New Roman"/>
          <w:sz w:val="28"/>
          <w:szCs w:val="28"/>
          <w:lang w:eastAsia="ru-RU"/>
        </w:rPr>
        <w:t>-202</w:t>
      </w:r>
      <w:r w:rsidRPr="0098424E">
        <w:rPr>
          <w:rFonts w:eastAsia="Times New Roman"/>
          <w:sz w:val="28"/>
          <w:szCs w:val="28"/>
          <w:lang w:eastAsia="ru-RU"/>
        </w:rPr>
        <w:t>7</w:t>
      </w:r>
      <w:r w:rsidR="002B6748" w:rsidRPr="0098424E">
        <w:rPr>
          <w:rFonts w:eastAsia="Times New Roman"/>
          <w:sz w:val="28"/>
          <w:szCs w:val="28"/>
          <w:lang w:eastAsia="ru-RU"/>
        </w:rPr>
        <w:t xml:space="preserve"> годы </w:t>
      </w:r>
      <w:r w:rsidR="002B6748" w:rsidRPr="0098424E">
        <w:rPr>
          <w:rFonts w:eastAsiaTheme="minorEastAsia"/>
          <w:sz w:val="28"/>
          <w:szCs w:val="28"/>
          <w:lang w:eastAsia="ru-RU"/>
        </w:rPr>
        <w:t>приняты</w:t>
      </w:r>
      <w:r w:rsidR="002B6748" w:rsidRPr="0098424E">
        <w:rPr>
          <w:rFonts w:cstheme="minorBidi"/>
          <w:sz w:val="28"/>
          <w:szCs w:val="28"/>
        </w:rPr>
        <w:t xml:space="preserve"> бюджетные ассигнования, первоначально утвержденные решением Думы города </w:t>
      </w:r>
      <w:r w:rsidRPr="0098424E">
        <w:rPr>
          <w:rFonts w:cstheme="minorBidi"/>
          <w:sz w:val="28"/>
          <w:szCs w:val="28"/>
        </w:rPr>
        <w:br/>
      </w:r>
      <w:r w:rsidR="002B6748" w:rsidRPr="0098424E">
        <w:rPr>
          <w:sz w:val="28"/>
          <w:szCs w:val="28"/>
        </w:rPr>
        <w:t xml:space="preserve">от </w:t>
      </w:r>
      <w:r w:rsidR="00857B56" w:rsidRPr="0098424E">
        <w:rPr>
          <w:sz w:val="28"/>
          <w:szCs w:val="28"/>
        </w:rPr>
        <w:t>1</w:t>
      </w:r>
      <w:r w:rsidRPr="0098424E">
        <w:rPr>
          <w:sz w:val="28"/>
          <w:szCs w:val="28"/>
        </w:rPr>
        <w:t>5</w:t>
      </w:r>
      <w:r w:rsidR="00857B56" w:rsidRPr="0098424E">
        <w:rPr>
          <w:sz w:val="28"/>
          <w:szCs w:val="28"/>
        </w:rPr>
        <w:t>.12.202</w:t>
      </w:r>
      <w:r w:rsidRPr="0098424E">
        <w:rPr>
          <w:sz w:val="28"/>
          <w:szCs w:val="28"/>
        </w:rPr>
        <w:t>3</w:t>
      </w:r>
      <w:r w:rsidR="00857B56" w:rsidRPr="0098424E">
        <w:rPr>
          <w:sz w:val="28"/>
          <w:szCs w:val="28"/>
        </w:rPr>
        <w:t xml:space="preserve"> №</w:t>
      </w:r>
      <w:r w:rsidRPr="0098424E">
        <w:rPr>
          <w:sz w:val="28"/>
          <w:szCs w:val="28"/>
        </w:rPr>
        <w:t>357</w:t>
      </w:r>
      <w:r w:rsidR="002B6748" w:rsidRPr="0098424E">
        <w:rPr>
          <w:sz w:val="28"/>
          <w:szCs w:val="28"/>
        </w:rPr>
        <w:t xml:space="preserve"> </w:t>
      </w:r>
      <w:r w:rsidR="002B6748" w:rsidRPr="0098424E">
        <w:rPr>
          <w:rFonts w:cstheme="minorBidi"/>
          <w:bCs/>
          <w:iCs/>
          <w:sz w:val="28"/>
          <w:szCs w:val="28"/>
        </w:rPr>
        <w:t>"</w:t>
      </w:r>
      <w:r w:rsidR="002B6748" w:rsidRPr="0098424E">
        <w:rPr>
          <w:rFonts w:cstheme="minorBidi"/>
          <w:sz w:val="28"/>
          <w:szCs w:val="28"/>
        </w:rPr>
        <w:t>О бюдже</w:t>
      </w:r>
      <w:r w:rsidR="00857B56" w:rsidRPr="0098424E">
        <w:rPr>
          <w:rFonts w:cstheme="minorBidi"/>
          <w:sz w:val="28"/>
          <w:szCs w:val="28"/>
        </w:rPr>
        <w:t>те города Нижневартовска на 202</w:t>
      </w:r>
      <w:r w:rsidRPr="0098424E">
        <w:rPr>
          <w:rFonts w:cstheme="minorBidi"/>
          <w:sz w:val="28"/>
          <w:szCs w:val="28"/>
        </w:rPr>
        <w:t>4</w:t>
      </w:r>
      <w:r w:rsidR="002B6748" w:rsidRPr="0098424E">
        <w:rPr>
          <w:rFonts w:cstheme="minorBidi"/>
          <w:sz w:val="28"/>
          <w:szCs w:val="28"/>
        </w:rPr>
        <w:t xml:space="preserve"> год</w:t>
      </w:r>
      <w:r w:rsidRPr="0098424E">
        <w:rPr>
          <w:rFonts w:cstheme="minorBidi"/>
          <w:sz w:val="28"/>
          <w:szCs w:val="28"/>
        </w:rPr>
        <w:br/>
      </w:r>
      <w:r w:rsidR="002B6748" w:rsidRPr="0098424E">
        <w:rPr>
          <w:rFonts w:cstheme="minorBidi"/>
          <w:sz w:val="28"/>
          <w:szCs w:val="28"/>
        </w:rPr>
        <w:t xml:space="preserve">и на </w:t>
      </w:r>
      <w:r w:rsidR="002B6748" w:rsidRPr="0098424E">
        <w:rPr>
          <w:rFonts w:cstheme="minorBidi"/>
          <w:bCs/>
          <w:sz w:val="28"/>
          <w:szCs w:val="28"/>
        </w:rPr>
        <w:t>плановый период 202</w:t>
      </w:r>
      <w:r w:rsidRPr="0098424E">
        <w:rPr>
          <w:rFonts w:cstheme="minorBidi"/>
          <w:bCs/>
          <w:sz w:val="28"/>
          <w:szCs w:val="28"/>
        </w:rPr>
        <w:t>5</w:t>
      </w:r>
      <w:r w:rsidR="002B6748" w:rsidRPr="0098424E">
        <w:rPr>
          <w:rFonts w:cstheme="minorBidi"/>
          <w:bCs/>
          <w:sz w:val="28"/>
          <w:szCs w:val="28"/>
        </w:rPr>
        <w:t xml:space="preserve"> и 202</w:t>
      </w:r>
      <w:r w:rsidRPr="0098424E">
        <w:rPr>
          <w:rFonts w:cstheme="minorBidi"/>
          <w:bCs/>
          <w:sz w:val="28"/>
          <w:szCs w:val="28"/>
        </w:rPr>
        <w:t>6</w:t>
      </w:r>
      <w:r w:rsidR="002B6748" w:rsidRPr="0098424E">
        <w:rPr>
          <w:rFonts w:cstheme="minorBidi"/>
          <w:bCs/>
          <w:sz w:val="28"/>
          <w:szCs w:val="28"/>
        </w:rPr>
        <w:t xml:space="preserve"> годов"</w:t>
      </w:r>
      <w:r w:rsidR="00857B56" w:rsidRPr="0098424E">
        <w:rPr>
          <w:rFonts w:cstheme="minorBidi"/>
          <w:bCs/>
          <w:sz w:val="28"/>
          <w:szCs w:val="28"/>
        </w:rPr>
        <w:t>.</w:t>
      </w:r>
    </w:p>
    <w:p w:rsidR="00857B56" w:rsidRPr="003B39D1" w:rsidRDefault="00857B56" w:rsidP="00857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9D1">
        <w:rPr>
          <w:rFonts w:ascii="Times New Roman" w:hAnsi="Times New Roman" w:cs="Times New Roman"/>
          <w:sz w:val="28"/>
          <w:szCs w:val="28"/>
        </w:rPr>
        <w:t>В расчете базовых бюджетных ассигнований учтены такие факторы, как:</w:t>
      </w:r>
    </w:p>
    <w:p w:rsidR="00857B56" w:rsidRPr="003B39D1" w:rsidRDefault="00857B56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B39D1">
        <w:rPr>
          <w:sz w:val="28"/>
          <w:szCs w:val="28"/>
        </w:rPr>
        <w:t xml:space="preserve">- необходимость финансового обеспечения "длящихся" расходных обязательств, решения по которым приняты в </w:t>
      </w:r>
      <w:r w:rsidR="003B39D1" w:rsidRPr="003B39D1">
        <w:rPr>
          <w:sz w:val="28"/>
          <w:szCs w:val="28"/>
        </w:rPr>
        <w:t>предшествующих периодах</w:t>
      </w:r>
      <w:r w:rsidRPr="003B39D1">
        <w:rPr>
          <w:sz w:val="28"/>
          <w:szCs w:val="28"/>
        </w:rPr>
        <w:t>;</w:t>
      </w:r>
    </w:p>
    <w:p w:rsidR="00857B56" w:rsidRPr="003B39D1" w:rsidRDefault="00857B56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B39D1">
        <w:rPr>
          <w:sz w:val="28"/>
          <w:szCs w:val="28"/>
        </w:rPr>
        <w:t xml:space="preserve">- уточнение установленного объема бюджетных ассигнований </w:t>
      </w:r>
      <w:r w:rsidR="003B39D1" w:rsidRPr="003B39D1">
        <w:rPr>
          <w:sz w:val="28"/>
          <w:szCs w:val="28"/>
        </w:rPr>
        <w:br/>
      </w:r>
      <w:r w:rsidRPr="003B39D1">
        <w:rPr>
          <w:sz w:val="28"/>
          <w:szCs w:val="28"/>
        </w:rPr>
        <w:t>на расходы, направляемые на фонд оплаты труда, в том числе:</w:t>
      </w:r>
    </w:p>
    <w:p w:rsidR="00857B56" w:rsidRPr="003B39D1" w:rsidRDefault="00857B56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B39D1">
        <w:rPr>
          <w:sz w:val="28"/>
          <w:szCs w:val="28"/>
        </w:rPr>
        <w:t xml:space="preserve">на обеспечение целевых показателей указов Президента Российской Федерации от 2012 года на уровне, устанавливаемом отраслевыми департаментами </w:t>
      </w:r>
      <w:r w:rsidRPr="003B39D1">
        <w:rPr>
          <w:rFonts w:eastAsiaTheme="minorEastAsia"/>
          <w:sz w:val="28"/>
          <w:szCs w:val="28"/>
          <w:lang w:eastAsia="ru-RU"/>
        </w:rPr>
        <w:t xml:space="preserve">Ханты-Мансийского автономного округа – Югры </w:t>
      </w:r>
      <w:r w:rsidRPr="003B39D1">
        <w:rPr>
          <w:sz w:val="28"/>
          <w:szCs w:val="28"/>
        </w:rPr>
        <w:t>образования, культуры, физической культуры и спорта;</w:t>
      </w:r>
    </w:p>
    <w:p w:rsidR="00857B56" w:rsidRPr="003B39D1" w:rsidRDefault="00857B56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B39D1">
        <w:rPr>
          <w:sz w:val="28"/>
          <w:szCs w:val="28"/>
        </w:rPr>
        <w:t xml:space="preserve">на </w:t>
      </w:r>
      <w:r w:rsidR="003B39D1" w:rsidRPr="003B39D1">
        <w:rPr>
          <w:sz w:val="28"/>
          <w:szCs w:val="28"/>
        </w:rPr>
        <w:t>планируемую с 1 октября 2024</w:t>
      </w:r>
      <w:r w:rsidRPr="003B39D1">
        <w:rPr>
          <w:sz w:val="28"/>
          <w:szCs w:val="28"/>
        </w:rPr>
        <w:t xml:space="preserve"> года на </w:t>
      </w:r>
      <w:r w:rsidR="003B39D1" w:rsidRPr="003B39D1">
        <w:rPr>
          <w:sz w:val="28"/>
          <w:szCs w:val="28"/>
        </w:rPr>
        <w:t>4</w:t>
      </w:r>
      <w:r w:rsidRPr="003B39D1">
        <w:rPr>
          <w:sz w:val="28"/>
          <w:szCs w:val="28"/>
        </w:rPr>
        <w:t>% и с 1 октября 202</w:t>
      </w:r>
      <w:r w:rsidR="003B39D1" w:rsidRPr="003B39D1">
        <w:rPr>
          <w:sz w:val="28"/>
          <w:szCs w:val="28"/>
        </w:rPr>
        <w:t xml:space="preserve">5 года </w:t>
      </w:r>
      <w:r w:rsidR="009459F2">
        <w:rPr>
          <w:sz w:val="28"/>
          <w:szCs w:val="28"/>
        </w:rPr>
        <w:br/>
      </w:r>
      <w:r w:rsidR="003B39D1" w:rsidRPr="003B39D1">
        <w:rPr>
          <w:sz w:val="28"/>
          <w:szCs w:val="28"/>
        </w:rPr>
        <w:t>на 4</w:t>
      </w:r>
      <w:r w:rsidRPr="003B39D1">
        <w:rPr>
          <w:sz w:val="28"/>
          <w:szCs w:val="28"/>
        </w:rPr>
        <w:t xml:space="preserve">% </w:t>
      </w:r>
      <w:r w:rsidR="003B39D1" w:rsidRPr="003B39D1">
        <w:rPr>
          <w:sz w:val="28"/>
          <w:szCs w:val="28"/>
        </w:rPr>
        <w:t xml:space="preserve">индексацию </w:t>
      </w:r>
      <w:r w:rsidRPr="003B39D1">
        <w:rPr>
          <w:sz w:val="28"/>
          <w:szCs w:val="28"/>
        </w:rPr>
        <w:t>по категориям работников, не подпадающим под действие указов Президента Российской Федерации от 2012 года;</w:t>
      </w:r>
    </w:p>
    <w:p w:rsidR="00857B56" w:rsidRDefault="00857B56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A063E">
        <w:rPr>
          <w:sz w:val="28"/>
          <w:szCs w:val="28"/>
        </w:rPr>
        <w:t xml:space="preserve">на обеспечение положения Федерального закона от 19.06.2000 №82-ФЗ "О минимальном размере оплаты труда", с применением к нему районного коэффициента и процентной надбавки к заработной плате за стаж работы </w:t>
      </w:r>
      <w:r w:rsidR="001A063E" w:rsidRPr="001A063E">
        <w:rPr>
          <w:sz w:val="28"/>
          <w:szCs w:val="28"/>
        </w:rPr>
        <w:br/>
      </w:r>
      <w:r w:rsidRPr="001A063E">
        <w:rPr>
          <w:sz w:val="28"/>
          <w:szCs w:val="28"/>
        </w:rPr>
        <w:t>в районах Крайнего Севера и приравненных к ним местностях;</w:t>
      </w:r>
    </w:p>
    <w:p w:rsidR="001A063E" w:rsidRDefault="001A063E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 обеспечение штатной численности работников муниципальных общеобразовательных организаций, не участвующих в реализации основных общеобразовательных программ в соответствии с федеральными государственными образовательными стандартами;</w:t>
      </w:r>
    </w:p>
    <w:p w:rsidR="001A063E" w:rsidRDefault="001A063E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на повышение оплаты труда отдельных </w:t>
      </w:r>
      <w:r w:rsidR="00C15A28">
        <w:rPr>
          <w:sz w:val="28"/>
          <w:szCs w:val="28"/>
        </w:rPr>
        <w:t>квалифицированных</w:t>
      </w:r>
      <w:r>
        <w:rPr>
          <w:sz w:val="28"/>
          <w:szCs w:val="28"/>
        </w:rPr>
        <w:t xml:space="preserve"> профессий</w:t>
      </w:r>
      <w:r w:rsidR="00C15A28">
        <w:rPr>
          <w:sz w:val="28"/>
          <w:szCs w:val="28"/>
        </w:rPr>
        <w:t xml:space="preserve"> рабочих муниципального бюджетного учреждения "Управление по дорожному хозяйству и благоустройству города Нижневартовска" (далее – МБУ "УпоДХБ"), осуществляющих работы по дорожной деятельности </w:t>
      </w:r>
      <w:r w:rsidR="00F23EC2">
        <w:rPr>
          <w:sz w:val="28"/>
          <w:szCs w:val="28"/>
        </w:rPr>
        <w:br/>
      </w:r>
      <w:r w:rsidR="00C15A28">
        <w:rPr>
          <w:sz w:val="28"/>
          <w:szCs w:val="28"/>
        </w:rPr>
        <w:t>и благоустройству на территории города;</w:t>
      </w:r>
    </w:p>
    <w:p w:rsidR="00C15A28" w:rsidRPr="001A063E" w:rsidRDefault="00C15A28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 дополнительную штатную численность в связи с началом функционирования Лыжного биатлонного центра и в связи с передачей полномочий по содержанию мест захоронения и оказанию услуг по погребению в МБУ "УпоДХБ";</w:t>
      </w:r>
    </w:p>
    <w:p w:rsidR="00857B56" w:rsidRPr="00C15A28" w:rsidRDefault="00857B56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15A28">
        <w:rPr>
          <w:sz w:val="28"/>
          <w:szCs w:val="28"/>
        </w:rPr>
        <w:t>- изменение предельной величины базы для исчисления страховых взносов в Социальный фонд России;</w:t>
      </w:r>
    </w:p>
    <w:p w:rsidR="00857B56" w:rsidRPr="00F018E2" w:rsidRDefault="00857B56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018E2">
        <w:rPr>
          <w:sz w:val="28"/>
          <w:szCs w:val="28"/>
        </w:rPr>
        <w:t>- изменение контингента получателей мер социальной поддержки населения;</w:t>
      </w:r>
    </w:p>
    <w:p w:rsidR="00857B56" w:rsidRPr="00F018E2" w:rsidRDefault="00857B56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018E2">
        <w:rPr>
          <w:sz w:val="28"/>
          <w:szCs w:val="28"/>
        </w:rPr>
        <w:t xml:space="preserve">- уточнение объема бюджетных ассигнований на межбюджетные трансферты, передаваемые из </w:t>
      </w:r>
      <w:r w:rsidR="00F018E2" w:rsidRPr="00F018E2">
        <w:rPr>
          <w:sz w:val="28"/>
          <w:szCs w:val="28"/>
        </w:rPr>
        <w:t xml:space="preserve">других </w:t>
      </w:r>
      <w:r w:rsidRPr="00F018E2">
        <w:rPr>
          <w:sz w:val="28"/>
          <w:szCs w:val="28"/>
        </w:rPr>
        <w:t xml:space="preserve">бюджетов </w:t>
      </w:r>
      <w:r w:rsidR="00F018E2" w:rsidRPr="00F018E2">
        <w:rPr>
          <w:sz w:val="28"/>
          <w:szCs w:val="28"/>
        </w:rPr>
        <w:t xml:space="preserve">бюджетной системы Российской Федерации </w:t>
      </w:r>
      <w:r w:rsidRPr="00F018E2">
        <w:rPr>
          <w:sz w:val="28"/>
          <w:szCs w:val="28"/>
        </w:rPr>
        <w:t>бюджету муниципального образования город Нижневартовск;</w:t>
      </w:r>
    </w:p>
    <w:p w:rsidR="00857B56" w:rsidRPr="00935470" w:rsidRDefault="00857B56" w:rsidP="00857B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35470">
        <w:rPr>
          <w:sz w:val="28"/>
          <w:szCs w:val="28"/>
        </w:rPr>
        <w:t xml:space="preserve">- уточнение объема бюджетных ассигнований на долевое софинансирование расходных обязательств за счет средств бюджета города; </w:t>
      </w:r>
    </w:p>
    <w:p w:rsidR="00857B56" w:rsidRPr="00935470" w:rsidRDefault="00857B56" w:rsidP="00857B5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  <w:r w:rsidRPr="00935470">
        <w:rPr>
          <w:sz w:val="28"/>
          <w:szCs w:val="28"/>
        </w:rPr>
        <w:t>- увеличение расходов на питание обучающихся (включая межбюджетные трансферты) с учетом изменения численности контингента, индексации с 1 января 202</w:t>
      </w:r>
      <w:r w:rsidR="00935470" w:rsidRPr="00935470">
        <w:rPr>
          <w:sz w:val="28"/>
          <w:szCs w:val="28"/>
        </w:rPr>
        <w:t>5</w:t>
      </w:r>
      <w:r w:rsidRPr="00935470">
        <w:rPr>
          <w:sz w:val="28"/>
          <w:szCs w:val="28"/>
        </w:rPr>
        <w:t xml:space="preserve"> года на 4%, а также другие факторы.</w:t>
      </w:r>
    </w:p>
    <w:p w:rsidR="002B6748" w:rsidRPr="006D785B" w:rsidRDefault="006D785B" w:rsidP="002B6748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6D785B">
        <w:rPr>
          <w:rFonts w:eastAsia="Times New Roman"/>
          <w:sz w:val="28"/>
          <w:szCs w:val="28"/>
          <w:lang w:eastAsia="ru-RU"/>
        </w:rPr>
        <w:t xml:space="preserve">Исходя из прогноза доходной базы, приоритетности и важности реализации на территории города социально значимых проектов и задач, расходы в проекте бюджета города предварительно предусмотрены </w:t>
      </w:r>
      <w:r w:rsidR="002B6748" w:rsidRPr="006D785B">
        <w:rPr>
          <w:rFonts w:eastAsia="Times New Roman"/>
          <w:sz w:val="28"/>
          <w:szCs w:val="28"/>
          <w:lang w:eastAsia="ru-RU"/>
        </w:rPr>
        <w:t>на 202</w:t>
      </w:r>
      <w:r w:rsidRPr="006D785B">
        <w:rPr>
          <w:rFonts w:eastAsia="Times New Roman"/>
          <w:sz w:val="28"/>
          <w:szCs w:val="28"/>
          <w:lang w:eastAsia="ru-RU"/>
        </w:rPr>
        <w:t>5</w:t>
      </w:r>
      <w:r w:rsidR="002B6748" w:rsidRPr="006D785B">
        <w:rPr>
          <w:rFonts w:eastAsia="Times New Roman"/>
          <w:sz w:val="28"/>
          <w:szCs w:val="28"/>
          <w:lang w:eastAsia="ru-RU"/>
        </w:rPr>
        <w:t xml:space="preserve"> год в сумме </w:t>
      </w:r>
      <w:r w:rsidR="009C12E4" w:rsidRPr="006D785B">
        <w:rPr>
          <w:rFonts w:eastAsia="Times New Roman"/>
          <w:sz w:val="28"/>
          <w:szCs w:val="28"/>
          <w:lang w:eastAsia="ru-RU"/>
        </w:rPr>
        <w:t>2</w:t>
      </w:r>
      <w:r w:rsidRPr="006D785B">
        <w:rPr>
          <w:rFonts w:eastAsia="Times New Roman"/>
          <w:sz w:val="28"/>
          <w:szCs w:val="28"/>
          <w:lang w:eastAsia="ru-RU"/>
        </w:rPr>
        <w:t>9</w:t>
      </w:r>
      <w:r w:rsidR="002B6748" w:rsidRPr="006D785B">
        <w:rPr>
          <w:rFonts w:eastAsia="Times New Roman"/>
          <w:sz w:val="28"/>
          <w:szCs w:val="28"/>
          <w:lang w:eastAsia="ru-RU"/>
        </w:rPr>
        <w:t xml:space="preserve"> млрд. </w:t>
      </w:r>
      <w:r w:rsidRPr="006D785B">
        <w:rPr>
          <w:rFonts w:eastAsia="Times New Roman"/>
          <w:sz w:val="28"/>
          <w:szCs w:val="28"/>
          <w:lang w:eastAsia="ru-RU"/>
        </w:rPr>
        <w:t>475</w:t>
      </w:r>
      <w:r w:rsidR="002B6748" w:rsidRPr="006D785B">
        <w:rPr>
          <w:rFonts w:eastAsia="Times New Roman"/>
          <w:sz w:val="28"/>
          <w:szCs w:val="28"/>
          <w:lang w:eastAsia="ru-RU"/>
        </w:rPr>
        <w:t xml:space="preserve"> млн. рублей, на 202</w:t>
      </w:r>
      <w:r w:rsidRPr="006D785B">
        <w:rPr>
          <w:rFonts w:eastAsia="Times New Roman"/>
          <w:sz w:val="28"/>
          <w:szCs w:val="28"/>
          <w:lang w:eastAsia="ru-RU"/>
        </w:rPr>
        <w:t>6</w:t>
      </w:r>
      <w:r w:rsidR="002B6748" w:rsidRPr="006D785B">
        <w:rPr>
          <w:rFonts w:eastAsia="Times New Roman"/>
          <w:sz w:val="28"/>
          <w:szCs w:val="28"/>
          <w:lang w:eastAsia="ru-RU"/>
        </w:rPr>
        <w:t xml:space="preserve"> год – 2</w:t>
      </w:r>
      <w:r w:rsidRPr="006D785B">
        <w:rPr>
          <w:rFonts w:eastAsia="Times New Roman"/>
          <w:sz w:val="28"/>
          <w:szCs w:val="28"/>
          <w:lang w:eastAsia="ru-RU"/>
        </w:rPr>
        <w:t>7</w:t>
      </w:r>
      <w:r w:rsidR="002B6748" w:rsidRPr="006D785B">
        <w:rPr>
          <w:rFonts w:eastAsia="Times New Roman"/>
          <w:sz w:val="28"/>
          <w:szCs w:val="28"/>
          <w:lang w:eastAsia="ru-RU"/>
        </w:rPr>
        <w:t xml:space="preserve"> млрд. </w:t>
      </w:r>
      <w:r w:rsidRPr="006D785B">
        <w:rPr>
          <w:rFonts w:eastAsia="Times New Roman"/>
          <w:sz w:val="28"/>
          <w:szCs w:val="28"/>
          <w:lang w:eastAsia="ru-RU"/>
        </w:rPr>
        <w:t>751</w:t>
      </w:r>
      <w:r w:rsidR="002B6748" w:rsidRPr="006D785B">
        <w:rPr>
          <w:rFonts w:eastAsia="Times New Roman"/>
          <w:sz w:val="28"/>
          <w:szCs w:val="28"/>
          <w:lang w:eastAsia="ru-RU"/>
        </w:rPr>
        <w:t xml:space="preserve"> млн. рублей, </w:t>
      </w:r>
      <w:r>
        <w:rPr>
          <w:rFonts w:eastAsia="Times New Roman"/>
          <w:sz w:val="28"/>
          <w:szCs w:val="28"/>
          <w:lang w:eastAsia="ru-RU"/>
        </w:rPr>
        <w:br/>
      </w:r>
      <w:r w:rsidR="002B6748" w:rsidRPr="006D785B">
        <w:rPr>
          <w:rFonts w:eastAsia="Times New Roman"/>
          <w:sz w:val="28"/>
          <w:szCs w:val="28"/>
          <w:lang w:eastAsia="ru-RU"/>
        </w:rPr>
        <w:t>на 202</w:t>
      </w:r>
      <w:r w:rsidRPr="006D785B">
        <w:rPr>
          <w:rFonts w:eastAsia="Times New Roman"/>
          <w:sz w:val="28"/>
          <w:szCs w:val="28"/>
          <w:lang w:eastAsia="ru-RU"/>
        </w:rPr>
        <w:t>7</w:t>
      </w:r>
      <w:r w:rsidR="009C12E4" w:rsidRPr="006D785B">
        <w:rPr>
          <w:rFonts w:eastAsia="Times New Roman"/>
          <w:sz w:val="28"/>
          <w:szCs w:val="28"/>
          <w:lang w:eastAsia="ru-RU"/>
        </w:rPr>
        <w:t xml:space="preserve"> год – 2</w:t>
      </w:r>
      <w:r w:rsidRPr="006D785B">
        <w:rPr>
          <w:rFonts w:eastAsia="Times New Roman"/>
          <w:sz w:val="28"/>
          <w:szCs w:val="28"/>
          <w:lang w:eastAsia="ru-RU"/>
        </w:rPr>
        <w:t>7</w:t>
      </w:r>
      <w:r w:rsidR="002B6748" w:rsidRPr="006D785B">
        <w:rPr>
          <w:rFonts w:eastAsia="Times New Roman"/>
          <w:sz w:val="28"/>
          <w:szCs w:val="28"/>
          <w:lang w:eastAsia="ru-RU"/>
        </w:rPr>
        <w:t xml:space="preserve"> млрд. </w:t>
      </w:r>
      <w:r w:rsidRPr="006D785B">
        <w:rPr>
          <w:rFonts w:eastAsia="Times New Roman"/>
          <w:sz w:val="28"/>
          <w:szCs w:val="28"/>
          <w:lang w:eastAsia="ru-RU"/>
        </w:rPr>
        <w:t>9</w:t>
      </w:r>
      <w:r w:rsidR="009C12E4" w:rsidRPr="006D785B">
        <w:rPr>
          <w:rFonts w:eastAsia="Times New Roman"/>
          <w:sz w:val="28"/>
          <w:szCs w:val="28"/>
          <w:lang w:eastAsia="ru-RU"/>
        </w:rPr>
        <w:t>5</w:t>
      </w:r>
      <w:r w:rsidR="002B6748" w:rsidRPr="006D785B">
        <w:rPr>
          <w:rFonts w:eastAsia="Times New Roman"/>
          <w:sz w:val="28"/>
          <w:szCs w:val="28"/>
          <w:lang w:eastAsia="ru-RU"/>
        </w:rPr>
        <w:t xml:space="preserve"> млн. рублей.</w:t>
      </w:r>
    </w:p>
    <w:p w:rsidR="002B6748" w:rsidRPr="006D785B" w:rsidRDefault="002B6748" w:rsidP="006D785B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6D785B">
        <w:rPr>
          <w:rFonts w:eastAsia="Times New Roman"/>
          <w:sz w:val="28"/>
          <w:szCs w:val="28"/>
          <w:lang w:eastAsia="ru-RU"/>
        </w:rPr>
        <w:t>Бюджет сохранит программный формат</w:t>
      </w:r>
      <w:r w:rsidR="006D785B" w:rsidRPr="006D785B">
        <w:rPr>
          <w:rFonts w:eastAsia="Times New Roman"/>
          <w:sz w:val="28"/>
          <w:szCs w:val="28"/>
          <w:lang w:eastAsia="ru-RU"/>
        </w:rPr>
        <w:t xml:space="preserve">, и в связи с совершенствованием системы управления и оптимизацией перечня муниципальных программ </w:t>
      </w:r>
      <w:r w:rsidR="006D785B" w:rsidRPr="006D785B">
        <w:rPr>
          <w:rFonts w:eastAsia="Times New Roman"/>
          <w:sz w:val="28"/>
          <w:szCs w:val="28"/>
          <w:lang w:eastAsia="ru-RU"/>
        </w:rPr>
        <w:br/>
        <w:t xml:space="preserve">с очередного финансового года будет исполняться на основе 18 программ. </w:t>
      </w:r>
      <w:r w:rsidRPr="006D785B">
        <w:rPr>
          <w:rFonts w:eastAsia="Times New Roman"/>
          <w:sz w:val="28"/>
          <w:szCs w:val="28"/>
          <w:lang w:eastAsia="ru-RU"/>
        </w:rPr>
        <w:t>Доля расходов на реализацию муниципальных программ составит в среднем 9</w:t>
      </w:r>
      <w:r w:rsidR="006D785B" w:rsidRPr="006D785B">
        <w:rPr>
          <w:rFonts w:eastAsia="Times New Roman"/>
          <w:sz w:val="28"/>
          <w:szCs w:val="28"/>
          <w:lang w:eastAsia="ru-RU"/>
        </w:rPr>
        <w:t>6</w:t>
      </w:r>
      <w:r w:rsidRPr="006D785B">
        <w:rPr>
          <w:rFonts w:eastAsia="Times New Roman"/>
          <w:sz w:val="28"/>
          <w:szCs w:val="28"/>
          <w:lang w:eastAsia="ru-RU"/>
        </w:rPr>
        <w:t xml:space="preserve">% </w:t>
      </w:r>
      <w:r w:rsidR="006D785B" w:rsidRPr="006D785B">
        <w:rPr>
          <w:rFonts w:eastAsia="Times New Roman"/>
          <w:sz w:val="28"/>
          <w:szCs w:val="28"/>
          <w:lang w:eastAsia="ru-RU"/>
        </w:rPr>
        <w:br/>
      </w:r>
      <w:r w:rsidRPr="006D785B">
        <w:rPr>
          <w:rFonts w:eastAsia="Times New Roman"/>
          <w:sz w:val="28"/>
          <w:szCs w:val="28"/>
          <w:lang w:eastAsia="ru-RU"/>
        </w:rPr>
        <w:t>по всем</w:t>
      </w:r>
      <w:r w:rsidR="009C12E4" w:rsidRPr="006D785B">
        <w:rPr>
          <w:rFonts w:eastAsia="Times New Roman"/>
          <w:sz w:val="28"/>
          <w:szCs w:val="28"/>
          <w:lang w:eastAsia="ru-RU"/>
        </w:rPr>
        <w:t xml:space="preserve"> трем</w:t>
      </w:r>
      <w:r w:rsidRPr="006D785B">
        <w:rPr>
          <w:rFonts w:eastAsia="Times New Roman"/>
          <w:sz w:val="28"/>
          <w:szCs w:val="28"/>
          <w:lang w:eastAsia="ru-RU"/>
        </w:rPr>
        <w:t xml:space="preserve"> годам.</w:t>
      </w:r>
    </w:p>
    <w:p w:rsidR="00775763" w:rsidRDefault="006D785B" w:rsidP="006D785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D785B">
        <w:rPr>
          <w:sz w:val="28"/>
          <w:szCs w:val="28"/>
        </w:rPr>
        <w:t>Расходы в планируемой трехлетке, как и прежде, сохраняют ярко выраженную социальную направленность.</w:t>
      </w:r>
      <w:r>
        <w:rPr>
          <w:sz w:val="28"/>
          <w:szCs w:val="28"/>
        </w:rPr>
        <w:t xml:space="preserve"> </w:t>
      </w:r>
    </w:p>
    <w:p w:rsidR="002B6748" w:rsidRPr="00775763" w:rsidRDefault="006D785B" w:rsidP="002B6748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75763">
        <w:rPr>
          <w:rFonts w:eastAsia="Times New Roman"/>
          <w:sz w:val="28"/>
          <w:szCs w:val="28"/>
          <w:lang w:eastAsia="ru-RU"/>
        </w:rPr>
        <w:t>На социальные отрасли планируется направить порядка 72</w:t>
      </w:r>
      <w:r w:rsidR="00775763" w:rsidRPr="00775763">
        <w:rPr>
          <w:rFonts w:eastAsia="Times New Roman"/>
          <w:sz w:val="28"/>
          <w:szCs w:val="28"/>
          <w:lang w:eastAsia="ru-RU"/>
        </w:rPr>
        <w:t xml:space="preserve">% суммарных расходов, на </w:t>
      </w:r>
      <w:r w:rsidR="00F449B0" w:rsidRPr="00775763">
        <w:rPr>
          <w:rFonts w:eastAsia="Times New Roman"/>
          <w:sz w:val="28"/>
          <w:szCs w:val="28"/>
          <w:lang w:eastAsia="ru-RU"/>
        </w:rPr>
        <w:t xml:space="preserve">отрасли производственной сферы – </w:t>
      </w:r>
      <w:r w:rsidR="00775763" w:rsidRPr="00775763">
        <w:rPr>
          <w:rFonts w:eastAsia="Times New Roman"/>
          <w:sz w:val="28"/>
          <w:szCs w:val="28"/>
          <w:lang w:eastAsia="ru-RU"/>
        </w:rPr>
        <w:t>почти 20</w:t>
      </w:r>
      <w:r w:rsidR="00F449B0" w:rsidRPr="00775763">
        <w:rPr>
          <w:rFonts w:eastAsia="Times New Roman"/>
          <w:sz w:val="28"/>
          <w:szCs w:val="28"/>
          <w:lang w:eastAsia="ru-RU"/>
        </w:rPr>
        <w:t>%.</w:t>
      </w:r>
    </w:p>
    <w:p w:rsidR="002B6748" w:rsidRPr="00E13993" w:rsidRDefault="002B6748" w:rsidP="00E13993">
      <w:pPr>
        <w:rPr>
          <w:rFonts w:eastAsia="Calibri"/>
          <w:sz w:val="28"/>
          <w:szCs w:val="28"/>
        </w:rPr>
      </w:pPr>
      <w:r w:rsidRPr="00E13993">
        <w:rPr>
          <w:rFonts w:cstheme="minorBidi"/>
          <w:sz w:val="28"/>
          <w:szCs w:val="28"/>
        </w:rPr>
        <w:t xml:space="preserve">Продолжится реализация </w:t>
      </w:r>
      <w:r w:rsidRPr="00E13993">
        <w:rPr>
          <w:sz w:val="28"/>
          <w:szCs w:val="28"/>
        </w:rPr>
        <w:t xml:space="preserve">национальных проектов. На исполнение </w:t>
      </w:r>
      <w:r w:rsidR="00E13993" w:rsidRPr="00E13993">
        <w:rPr>
          <w:sz w:val="28"/>
          <w:szCs w:val="28"/>
        </w:rPr>
        <w:br/>
        <w:t>5</w:t>
      </w:r>
      <w:r w:rsidRPr="00E13993">
        <w:rPr>
          <w:sz w:val="28"/>
          <w:szCs w:val="28"/>
        </w:rPr>
        <w:t xml:space="preserve"> </w:t>
      </w:r>
      <w:r w:rsidRPr="00E13993">
        <w:rPr>
          <w:iCs/>
          <w:sz w:val="28"/>
          <w:szCs w:val="28"/>
        </w:rPr>
        <w:t>региональных проектов</w:t>
      </w:r>
      <w:r w:rsidRPr="00E13993">
        <w:rPr>
          <w:sz w:val="28"/>
          <w:szCs w:val="28"/>
        </w:rPr>
        <w:t xml:space="preserve">, направленных на достижение результатов </w:t>
      </w:r>
      <w:r w:rsidR="00E13993" w:rsidRPr="00E13993">
        <w:rPr>
          <w:sz w:val="28"/>
          <w:szCs w:val="28"/>
        </w:rPr>
        <w:t>3-х</w:t>
      </w:r>
      <w:r w:rsidRPr="00E13993">
        <w:rPr>
          <w:sz w:val="28"/>
          <w:szCs w:val="28"/>
        </w:rPr>
        <w:t xml:space="preserve"> национальных проектов</w:t>
      </w:r>
      <w:r w:rsidR="007569EF">
        <w:rPr>
          <w:sz w:val="28"/>
          <w:szCs w:val="28"/>
        </w:rPr>
        <w:t>,</w:t>
      </w:r>
      <w:r w:rsidRPr="00E13993">
        <w:rPr>
          <w:sz w:val="28"/>
          <w:szCs w:val="28"/>
        </w:rPr>
        <w:t xml:space="preserve"> на 202</w:t>
      </w:r>
      <w:r w:rsidR="00E13993" w:rsidRPr="00E13993">
        <w:rPr>
          <w:sz w:val="28"/>
          <w:szCs w:val="28"/>
        </w:rPr>
        <w:t>5</w:t>
      </w:r>
      <w:r w:rsidRPr="00E13993">
        <w:rPr>
          <w:sz w:val="28"/>
          <w:szCs w:val="28"/>
        </w:rPr>
        <w:t xml:space="preserve"> год предусмотрено </w:t>
      </w:r>
      <w:r w:rsidR="00E13993" w:rsidRPr="00E13993">
        <w:rPr>
          <w:sz w:val="28"/>
          <w:szCs w:val="28"/>
        </w:rPr>
        <w:t>347</w:t>
      </w:r>
      <w:r w:rsidRPr="00E13993">
        <w:rPr>
          <w:rFonts w:eastAsia="Calibri"/>
          <w:sz w:val="28"/>
          <w:szCs w:val="28"/>
        </w:rPr>
        <w:t xml:space="preserve"> млн. рублей, </w:t>
      </w:r>
      <w:r w:rsidR="00E13993" w:rsidRPr="00E13993">
        <w:rPr>
          <w:rFonts w:eastAsia="Calibri"/>
          <w:sz w:val="28"/>
          <w:szCs w:val="28"/>
        </w:rPr>
        <w:br/>
      </w:r>
      <w:r w:rsidRPr="00E13993">
        <w:rPr>
          <w:rFonts w:eastAsia="Calibri"/>
          <w:sz w:val="28"/>
          <w:szCs w:val="28"/>
        </w:rPr>
        <w:t>на 202</w:t>
      </w:r>
      <w:r w:rsidR="00E13993" w:rsidRPr="00E13993">
        <w:rPr>
          <w:rFonts w:eastAsia="Calibri"/>
          <w:sz w:val="28"/>
          <w:szCs w:val="28"/>
        </w:rPr>
        <w:t>6</w:t>
      </w:r>
      <w:r w:rsidRPr="00E13993">
        <w:rPr>
          <w:rFonts w:eastAsia="Calibri"/>
          <w:sz w:val="28"/>
          <w:szCs w:val="28"/>
        </w:rPr>
        <w:t xml:space="preserve"> год – </w:t>
      </w:r>
      <w:r w:rsidR="00E13993" w:rsidRPr="00E13993">
        <w:rPr>
          <w:rFonts w:eastAsia="Calibri"/>
          <w:sz w:val="28"/>
          <w:szCs w:val="28"/>
        </w:rPr>
        <w:t>244</w:t>
      </w:r>
      <w:r w:rsidRPr="00E13993">
        <w:rPr>
          <w:rFonts w:eastAsia="Calibri"/>
          <w:sz w:val="28"/>
          <w:szCs w:val="28"/>
        </w:rPr>
        <w:t xml:space="preserve"> млн. рублей, на 202</w:t>
      </w:r>
      <w:r w:rsidR="00E13993" w:rsidRPr="00E13993">
        <w:rPr>
          <w:rFonts w:eastAsia="Calibri"/>
          <w:sz w:val="28"/>
          <w:szCs w:val="28"/>
        </w:rPr>
        <w:t>7</w:t>
      </w:r>
      <w:r w:rsidRPr="00E13993">
        <w:rPr>
          <w:rFonts w:eastAsia="Calibri"/>
          <w:sz w:val="28"/>
          <w:szCs w:val="28"/>
        </w:rPr>
        <w:t xml:space="preserve"> год – </w:t>
      </w:r>
      <w:r w:rsidR="00E13993" w:rsidRPr="00E13993">
        <w:rPr>
          <w:rFonts w:eastAsia="Calibri"/>
          <w:sz w:val="28"/>
          <w:szCs w:val="28"/>
        </w:rPr>
        <w:t>245</w:t>
      </w:r>
      <w:r w:rsidRPr="00E13993">
        <w:rPr>
          <w:rFonts w:eastAsia="Calibri"/>
          <w:sz w:val="28"/>
          <w:szCs w:val="28"/>
        </w:rPr>
        <w:t xml:space="preserve"> млн. рублей.</w:t>
      </w:r>
    </w:p>
    <w:p w:rsidR="00E13993" w:rsidRPr="00D15777" w:rsidRDefault="00E13993" w:rsidP="00D15777">
      <w:pPr>
        <w:rPr>
          <w:rFonts w:eastAsia="Calibri"/>
          <w:spacing w:val="-4"/>
          <w:sz w:val="28"/>
          <w:szCs w:val="28"/>
        </w:rPr>
      </w:pPr>
      <w:r w:rsidRPr="00D15777">
        <w:rPr>
          <w:sz w:val="28"/>
          <w:szCs w:val="28"/>
        </w:rPr>
        <w:t>На реализацию практики инициативного бюджетирования в целях</w:t>
      </w:r>
      <w:r w:rsidRPr="00D15777">
        <w:rPr>
          <w:sz w:val="28"/>
          <w:szCs w:val="28"/>
          <w:shd w:val="clear" w:color="auto" w:fill="FFFFFF"/>
        </w:rPr>
        <w:t xml:space="preserve"> осуществления мероприятий, имеющих приоритетное значение для жителей города, в бюджете </w:t>
      </w:r>
      <w:r w:rsidRPr="00D15777">
        <w:rPr>
          <w:rFonts w:eastAsia="Calibri"/>
          <w:spacing w:val="-4"/>
          <w:sz w:val="28"/>
          <w:szCs w:val="28"/>
        </w:rPr>
        <w:t>предусмотрено 240 млн. рублей</w:t>
      </w:r>
      <w:r w:rsidR="007A6B95">
        <w:rPr>
          <w:rFonts w:eastAsia="Calibri"/>
          <w:spacing w:val="-4"/>
          <w:sz w:val="28"/>
          <w:szCs w:val="28"/>
        </w:rPr>
        <w:t xml:space="preserve"> или по 80 млн. рублей ежегодно</w:t>
      </w:r>
      <w:bookmarkStart w:id="0" w:name="_GoBack"/>
      <w:bookmarkEnd w:id="0"/>
      <w:r w:rsidRPr="00D15777">
        <w:rPr>
          <w:rFonts w:eastAsia="Calibri"/>
          <w:spacing w:val="-4"/>
          <w:sz w:val="28"/>
          <w:szCs w:val="28"/>
        </w:rPr>
        <w:t xml:space="preserve">. </w:t>
      </w:r>
    </w:p>
    <w:p w:rsidR="004D3D03" w:rsidRDefault="00E13993" w:rsidP="00D15777">
      <w:pPr>
        <w:tabs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  <w:r w:rsidRPr="00D15777">
        <w:rPr>
          <w:rFonts w:eastAsia="Times New Roman"/>
          <w:sz w:val="28"/>
          <w:szCs w:val="28"/>
          <w:lang w:eastAsia="ru-RU"/>
        </w:rPr>
        <w:t>Наталья Игоревна</w:t>
      </w:r>
      <w:r w:rsidR="002B6748" w:rsidRPr="00D15777">
        <w:rPr>
          <w:rFonts w:eastAsia="Times New Roman"/>
          <w:sz w:val="28"/>
          <w:szCs w:val="28"/>
          <w:lang w:eastAsia="ru-RU"/>
        </w:rPr>
        <w:t xml:space="preserve"> отметила, что </w:t>
      </w:r>
      <w:r w:rsidRPr="00D15777">
        <w:rPr>
          <w:rFonts w:eastAsia="Times New Roman"/>
          <w:sz w:val="28"/>
          <w:szCs w:val="28"/>
          <w:lang w:eastAsia="ru-RU"/>
        </w:rPr>
        <w:t>21</w:t>
      </w:r>
      <w:r w:rsidR="002B6748" w:rsidRPr="00D15777">
        <w:rPr>
          <w:rFonts w:eastAsia="Times New Roman"/>
          <w:sz w:val="28"/>
          <w:szCs w:val="28"/>
          <w:lang w:eastAsia="ru-RU"/>
        </w:rPr>
        <w:t xml:space="preserve"> октября состоялось заседание комиссии по бюджетным проектировкам, на котором также был рассмотрен вопрос основных параметров проекта бюджета</w:t>
      </w:r>
      <w:r w:rsidR="00D15777">
        <w:rPr>
          <w:rFonts w:eastAsia="Times New Roman"/>
          <w:sz w:val="28"/>
          <w:szCs w:val="28"/>
          <w:lang w:eastAsia="ru-RU"/>
        </w:rPr>
        <w:t xml:space="preserve"> города</w:t>
      </w:r>
      <w:r w:rsidR="002B6748" w:rsidRPr="00D15777">
        <w:rPr>
          <w:rFonts w:eastAsia="Times New Roman"/>
          <w:sz w:val="28"/>
          <w:szCs w:val="28"/>
          <w:lang w:eastAsia="ru-RU"/>
        </w:rPr>
        <w:t xml:space="preserve"> на предстоящий трехлетний период</w:t>
      </w:r>
      <w:r w:rsidRPr="00D15777">
        <w:rPr>
          <w:rFonts w:eastAsia="Times New Roman"/>
          <w:sz w:val="28"/>
          <w:szCs w:val="28"/>
          <w:lang w:eastAsia="ru-RU"/>
        </w:rPr>
        <w:t>,</w:t>
      </w:r>
      <w:r w:rsidR="002B6748" w:rsidRPr="00D15777">
        <w:rPr>
          <w:rFonts w:eastAsia="Times New Roman"/>
          <w:sz w:val="28"/>
          <w:szCs w:val="28"/>
          <w:lang w:eastAsia="ru-RU"/>
        </w:rPr>
        <w:t xml:space="preserve"> по результатам которого решено </w:t>
      </w:r>
      <w:r w:rsidR="00F449B0" w:rsidRPr="00D15777">
        <w:rPr>
          <w:rFonts w:eastAsia="Times New Roman"/>
          <w:sz w:val="28"/>
          <w:szCs w:val="28"/>
          <w:lang w:eastAsia="ru-RU"/>
        </w:rPr>
        <w:t>принять за основу</w:t>
      </w:r>
      <w:r w:rsidR="002B6748" w:rsidRPr="00D15777">
        <w:rPr>
          <w:rFonts w:eastAsia="Times New Roman"/>
          <w:sz w:val="28"/>
          <w:szCs w:val="28"/>
          <w:lang w:eastAsia="ru-RU"/>
        </w:rPr>
        <w:t xml:space="preserve"> </w:t>
      </w:r>
      <w:r w:rsidR="002B6748" w:rsidRPr="00D15777">
        <w:rPr>
          <w:sz w:val="28"/>
          <w:szCs w:val="28"/>
        </w:rPr>
        <w:t xml:space="preserve">предложения по предельным объемам бюджетных ассигнований бюджета города Нижневартовска на реализацию муниципальных программ </w:t>
      </w:r>
      <w:r w:rsidR="00F23EC2">
        <w:rPr>
          <w:sz w:val="28"/>
          <w:szCs w:val="28"/>
        </w:rPr>
        <w:br/>
      </w:r>
      <w:r w:rsidR="002B6748" w:rsidRPr="00D15777">
        <w:rPr>
          <w:sz w:val="28"/>
          <w:szCs w:val="28"/>
        </w:rPr>
        <w:t>и непрограммных направлений деятельности на 202</w:t>
      </w:r>
      <w:r w:rsidRPr="00D15777">
        <w:rPr>
          <w:sz w:val="28"/>
          <w:szCs w:val="28"/>
        </w:rPr>
        <w:t>5</w:t>
      </w:r>
      <w:r w:rsidR="002B6748" w:rsidRPr="00D15777">
        <w:rPr>
          <w:sz w:val="28"/>
          <w:szCs w:val="28"/>
        </w:rPr>
        <w:t xml:space="preserve"> год и на плановый период 202</w:t>
      </w:r>
      <w:r w:rsidRPr="00D15777">
        <w:rPr>
          <w:sz w:val="28"/>
          <w:szCs w:val="28"/>
        </w:rPr>
        <w:t>6</w:t>
      </w:r>
      <w:r w:rsidR="002B6748" w:rsidRPr="00D15777">
        <w:rPr>
          <w:sz w:val="28"/>
          <w:szCs w:val="28"/>
        </w:rPr>
        <w:t xml:space="preserve"> и 202</w:t>
      </w:r>
      <w:r w:rsidRPr="00D15777">
        <w:rPr>
          <w:sz w:val="28"/>
          <w:szCs w:val="28"/>
        </w:rPr>
        <w:t>7 годов</w:t>
      </w:r>
      <w:r w:rsidR="004D3D03">
        <w:rPr>
          <w:sz w:val="28"/>
          <w:szCs w:val="28"/>
        </w:rPr>
        <w:t>.</w:t>
      </w:r>
    </w:p>
    <w:p w:rsidR="004D3D03" w:rsidRDefault="004D3D03" w:rsidP="002B6748">
      <w:pPr>
        <w:tabs>
          <w:tab w:val="left" w:pos="851"/>
          <w:tab w:val="left" w:pos="993"/>
        </w:tabs>
      </w:pPr>
    </w:p>
    <w:p w:rsidR="002B6748" w:rsidRPr="00446D6C" w:rsidRDefault="002B6748" w:rsidP="002B6748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Решили:</w:t>
      </w:r>
    </w:p>
    <w:p w:rsidR="002B6748" w:rsidRDefault="002B6748" w:rsidP="002B6748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Принять к сведению информацию:</w:t>
      </w:r>
    </w:p>
    <w:p w:rsidR="002B6748" w:rsidRDefault="002B6748" w:rsidP="002B674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EB0C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="00F449B0">
        <w:rPr>
          <w:sz w:val="28"/>
          <w:szCs w:val="28"/>
        </w:rPr>
        <w:t>о</w:t>
      </w:r>
      <w:r w:rsidR="00F449B0" w:rsidRPr="00E62D24">
        <w:rPr>
          <w:sz w:val="28"/>
          <w:szCs w:val="28"/>
        </w:rPr>
        <w:t>сновны</w:t>
      </w:r>
      <w:r w:rsidR="00F449B0">
        <w:rPr>
          <w:sz w:val="28"/>
          <w:szCs w:val="28"/>
        </w:rPr>
        <w:t>х</w:t>
      </w:r>
      <w:r w:rsidR="00F449B0" w:rsidRPr="00E62D24">
        <w:rPr>
          <w:sz w:val="28"/>
          <w:szCs w:val="28"/>
        </w:rPr>
        <w:t xml:space="preserve"> направлени</w:t>
      </w:r>
      <w:r w:rsidR="00796D3F">
        <w:rPr>
          <w:sz w:val="28"/>
          <w:szCs w:val="28"/>
        </w:rPr>
        <w:t>ях</w:t>
      </w:r>
      <w:r w:rsidR="00F449B0" w:rsidRPr="00E62D24">
        <w:rPr>
          <w:sz w:val="28"/>
          <w:szCs w:val="28"/>
        </w:rPr>
        <w:t xml:space="preserve"> бюджетной и налоговой политики города Нижневартовска на 202</w:t>
      </w:r>
      <w:r w:rsidR="00D15777">
        <w:rPr>
          <w:sz w:val="28"/>
          <w:szCs w:val="28"/>
        </w:rPr>
        <w:t>5</w:t>
      </w:r>
      <w:r w:rsidR="00F449B0" w:rsidRPr="00E62D24">
        <w:rPr>
          <w:sz w:val="28"/>
          <w:szCs w:val="28"/>
        </w:rPr>
        <w:t xml:space="preserve"> год и на плановый период 202</w:t>
      </w:r>
      <w:r w:rsidR="00D15777">
        <w:rPr>
          <w:sz w:val="28"/>
          <w:szCs w:val="28"/>
        </w:rPr>
        <w:t>6</w:t>
      </w:r>
      <w:r w:rsidR="00F449B0" w:rsidRPr="00E62D24">
        <w:rPr>
          <w:sz w:val="28"/>
          <w:szCs w:val="28"/>
        </w:rPr>
        <w:t xml:space="preserve"> и 202</w:t>
      </w:r>
      <w:r w:rsidR="00D15777">
        <w:rPr>
          <w:sz w:val="28"/>
          <w:szCs w:val="28"/>
        </w:rPr>
        <w:t>7</w:t>
      </w:r>
      <w:r w:rsidR="00F449B0" w:rsidRPr="00E62D2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; </w:t>
      </w:r>
    </w:p>
    <w:p w:rsidR="002B6748" w:rsidRDefault="002B6748" w:rsidP="002B6748">
      <w:pPr>
        <w:rPr>
          <w:sz w:val="28"/>
          <w:szCs w:val="28"/>
        </w:rPr>
      </w:pPr>
      <w:r>
        <w:rPr>
          <w:sz w:val="28"/>
          <w:szCs w:val="28"/>
        </w:rPr>
        <w:t xml:space="preserve">- о характеристиках проекта бюджета города Нижневартовска </w:t>
      </w:r>
      <w:r w:rsidR="00796D3F" w:rsidRPr="00E62D24">
        <w:rPr>
          <w:sz w:val="28"/>
          <w:szCs w:val="28"/>
        </w:rPr>
        <w:t>на 202</w:t>
      </w:r>
      <w:r w:rsidR="00D15777">
        <w:rPr>
          <w:sz w:val="28"/>
          <w:szCs w:val="28"/>
        </w:rPr>
        <w:t>5</w:t>
      </w:r>
      <w:r w:rsidR="00796D3F" w:rsidRPr="00E62D24">
        <w:rPr>
          <w:sz w:val="28"/>
          <w:szCs w:val="28"/>
        </w:rPr>
        <w:t xml:space="preserve"> год и на плановый период 202</w:t>
      </w:r>
      <w:r w:rsidR="00D15777">
        <w:rPr>
          <w:sz w:val="28"/>
          <w:szCs w:val="28"/>
        </w:rPr>
        <w:t>6</w:t>
      </w:r>
      <w:r w:rsidR="00796D3F" w:rsidRPr="00E62D24">
        <w:rPr>
          <w:sz w:val="28"/>
          <w:szCs w:val="28"/>
        </w:rPr>
        <w:t xml:space="preserve"> и 202</w:t>
      </w:r>
      <w:r w:rsidR="00D15777">
        <w:rPr>
          <w:sz w:val="28"/>
          <w:szCs w:val="28"/>
        </w:rPr>
        <w:t>7</w:t>
      </w:r>
      <w:r w:rsidR="00796D3F" w:rsidRPr="00E62D24">
        <w:rPr>
          <w:sz w:val="28"/>
          <w:szCs w:val="28"/>
        </w:rPr>
        <w:t xml:space="preserve"> годов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E5149" w:rsidRDefault="00EE5149" w:rsidP="00C76B5B">
      <w:pPr>
        <w:ind w:firstLine="0"/>
        <w:rPr>
          <w:sz w:val="28"/>
          <w:szCs w:val="28"/>
        </w:rPr>
      </w:pPr>
    </w:p>
    <w:p w:rsidR="00611D3E" w:rsidRDefault="00611D3E" w:rsidP="00C76B5B">
      <w:pPr>
        <w:ind w:firstLine="0"/>
        <w:rPr>
          <w:sz w:val="28"/>
          <w:szCs w:val="28"/>
        </w:rPr>
      </w:pPr>
    </w:p>
    <w:p w:rsidR="007D68A7" w:rsidRPr="00041E1C" w:rsidRDefault="007D68A7" w:rsidP="007D68A7">
      <w:pPr>
        <w:ind w:firstLine="0"/>
        <w:rPr>
          <w:sz w:val="28"/>
          <w:szCs w:val="28"/>
        </w:rPr>
      </w:pPr>
      <w:r w:rsidRPr="00041E1C">
        <w:rPr>
          <w:sz w:val="28"/>
          <w:szCs w:val="28"/>
        </w:rPr>
        <w:t xml:space="preserve">Заместитель председателя </w:t>
      </w:r>
    </w:p>
    <w:p w:rsidR="007D68A7" w:rsidRPr="00041E1C" w:rsidRDefault="007D68A7" w:rsidP="007D68A7">
      <w:pPr>
        <w:ind w:firstLine="0"/>
        <w:rPr>
          <w:sz w:val="28"/>
          <w:szCs w:val="28"/>
        </w:rPr>
      </w:pPr>
      <w:r w:rsidRPr="00041E1C">
        <w:rPr>
          <w:sz w:val="28"/>
          <w:szCs w:val="28"/>
        </w:rPr>
        <w:t>Общественного совета                                                              Л.Я. Ворфоломеева</w:t>
      </w:r>
    </w:p>
    <w:p w:rsidR="007D68A7" w:rsidRDefault="007D68A7" w:rsidP="00C76B5B">
      <w:pPr>
        <w:ind w:firstLine="0"/>
        <w:rPr>
          <w:sz w:val="28"/>
          <w:szCs w:val="28"/>
        </w:rPr>
      </w:pPr>
    </w:p>
    <w:p w:rsidR="003E1A4F" w:rsidRDefault="002051E8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Секретарь Общественного совета                                                    Т.И. Логинова</w:t>
      </w:r>
    </w:p>
    <w:sectPr w:rsidR="003E1A4F" w:rsidSect="004D3D0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00" w:rsidRDefault="00F22300" w:rsidP="00F22300">
      <w:r>
        <w:separator/>
      </w:r>
    </w:p>
  </w:endnote>
  <w:endnote w:type="continuationSeparator" w:id="0">
    <w:p w:rsidR="00F22300" w:rsidRDefault="00F22300" w:rsidP="00F2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00" w:rsidRDefault="00F22300" w:rsidP="00F22300">
      <w:r>
        <w:separator/>
      </w:r>
    </w:p>
  </w:footnote>
  <w:footnote w:type="continuationSeparator" w:id="0">
    <w:p w:rsidR="00F22300" w:rsidRDefault="00F22300" w:rsidP="00F2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965043"/>
      <w:docPartObj>
        <w:docPartGallery w:val="Page Numbers (Top of Page)"/>
        <w:docPartUnique/>
      </w:docPartObj>
    </w:sdtPr>
    <w:sdtEndPr/>
    <w:sdtContent>
      <w:p w:rsidR="00F22300" w:rsidRDefault="00F223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B95">
          <w:rPr>
            <w:noProof/>
          </w:rPr>
          <w:t>4</w:t>
        </w:r>
        <w:r>
          <w:fldChar w:fldCharType="end"/>
        </w:r>
      </w:p>
    </w:sdtContent>
  </w:sdt>
  <w:p w:rsidR="00F22300" w:rsidRDefault="00F223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BAC"/>
    <w:multiLevelType w:val="hybridMultilevel"/>
    <w:tmpl w:val="C982228E"/>
    <w:lvl w:ilvl="0" w:tplc="42B4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915728"/>
    <w:multiLevelType w:val="hybridMultilevel"/>
    <w:tmpl w:val="EC64412C"/>
    <w:lvl w:ilvl="0" w:tplc="D9EA5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BB44D3"/>
    <w:multiLevelType w:val="hybridMultilevel"/>
    <w:tmpl w:val="4FB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08AB"/>
    <w:multiLevelType w:val="hybridMultilevel"/>
    <w:tmpl w:val="EE605B62"/>
    <w:lvl w:ilvl="0" w:tplc="C2F26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537298"/>
    <w:multiLevelType w:val="hybridMultilevel"/>
    <w:tmpl w:val="26DE9462"/>
    <w:lvl w:ilvl="0" w:tplc="C10A50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57515D"/>
    <w:multiLevelType w:val="hybridMultilevel"/>
    <w:tmpl w:val="9050BF9C"/>
    <w:lvl w:ilvl="0" w:tplc="C1603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05B93"/>
    <w:rsid w:val="000436EB"/>
    <w:rsid w:val="00044830"/>
    <w:rsid w:val="000515B9"/>
    <w:rsid w:val="00053841"/>
    <w:rsid w:val="00067AD2"/>
    <w:rsid w:val="000C003A"/>
    <w:rsid w:val="000D613A"/>
    <w:rsid w:val="000F1B86"/>
    <w:rsid w:val="000F745D"/>
    <w:rsid w:val="001036E9"/>
    <w:rsid w:val="00140684"/>
    <w:rsid w:val="00152B34"/>
    <w:rsid w:val="0016224D"/>
    <w:rsid w:val="00191720"/>
    <w:rsid w:val="001A063E"/>
    <w:rsid w:val="001A3FE9"/>
    <w:rsid w:val="001B3A8B"/>
    <w:rsid w:val="001C1B98"/>
    <w:rsid w:val="001D48E6"/>
    <w:rsid w:val="002051E8"/>
    <w:rsid w:val="00235D06"/>
    <w:rsid w:val="002B6748"/>
    <w:rsid w:val="002C478B"/>
    <w:rsid w:val="002D2DBF"/>
    <w:rsid w:val="00302E63"/>
    <w:rsid w:val="00324767"/>
    <w:rsid w:val="003326C6"/>
    <w:rsid w:val="00354D03"/>
    <w:rsid w:val="00357204"/>
    <w:rsid w:val="003661D3"/>
    <w:rsid w:val="00370064"/>
    <w:rsid w:val="00373B21"/>
    <w:rsid w:val="003B39D1"/>
    <w:rsid w:val="003E1A4F"/>
    <w:rsid w:val="00446D6C"/>
    <w:rsid w:val="004658F4"/>
    <w:rsid w:val="004672FD"/>
    <w:rsid w:val="00473EC6"/>
    <w:rsid w:val="004A5609"/>
    <w:rsid w:val="004B1B57"/>
    <w:rsid w:val="004C226A"/>
    <w:rsid w:val="004D0811"/>
    <w:rsid w:val="004D3B9A"/>
    <w:rsid w:val="004D3D03"/>
    <w:rsid w:val="004D673F"/>
    <w:rsid w:val="004E0E0D"/>
    <w:rsid w:val="004F18A5"/>
    <w:rsid w:val="004F1AD3"/>
    <w:rsid w:val="0050136F"/>
    <w:rsid w:val="005559B0"/>
    <w:rsid w:val="00590F9F"/>
    <w:rsid w:val="00594879"/>
    <w:rsid w:val="005A0C19"/>
    <w:rsid w:val="005F223D"/>
    <w:rsid w:val="00611D3E"/>
    <w:rsid w:val="0063052F"/>
    <w:rsid w:val="006520D9"/>
    <w:rsid w:val="00665650"/>
    <w:rsid w:val="00672345"/>
    <w:rsid w:val="006C35A9"/>
    <w:rsid w:val="006D249E"/>
    <w:rsid w:val="006D785B"/>
    <w:rsid w:val="006E0274"/>
    <w:rsid w:val="006E09B7"/>
    <w:rsid w:val="007569EF"/>
    <w:rsid w:val="00770809"/>
    <w:rsid w:val="00775763"/>
    <w:rsid w:val="007775A2"/>
    <w:rsid w:val="00796D3F"/>
    <w:rsid w:val="007A238B"/>
    <w:rsid w:val="007A6B95"/>
    <w:rsid w:val="007B081C"/>
    <w:rsid w:val="007D68A7"/>
    <w:rsid w:val="00823E97"/>
    <w:rsid w:val="008244E8"/>
    <w:rsid w:val="008273E3"/>
    <w:rsid w:val="00834B7A"/>
    <w:rsid w:val="00834F5C"/>
    <w:rsid w:val="008404CD"/>
    <w:rsid w:val="00840CC5"/>
    <w:rsid w:val="008424C8"/>
    <w:rsid w:val="008518A8"/>
    <w:rsid w:val="00856243"/>
    <w:rsid w:val="00857981"/>
    <w:rsid w:val="00857B56"/>
    <w:rsid w:val="00866596"/>
    <w:rsid w:val="008751A1"/>
    <w:rsid w:val="00892FA9"/>
    <w:rsid w:val="0089662F"/>
    <w:rsid w:val="008B05B3"/>
    <w:rsid w:val="008C2F62"/>
    <w:rsid w:val="008D2192"/>
    <w:rsid w:val="008D4FB9"/>
    <w:rsid w:val="008D6037"/>
    <w:rsid w:val="008D6BC1"/>
    <w:rsid w:val="008D73FE"/>
    <w:rsid w:val="008E2690"/>
    <w:rsid w:val="008F68DE"/>
    <w:rsid w:val="00921F96"/>
    <w:rsid w:val="00935470"/>
    <w:rsid w:val="00936913"/>
    <w:rsid w:val="00942A60"/>
    <w:rsid w:val="009459F2"/>
    <w:rsid w:val="00956AF0"/>
    <w:rsid w:val="00962E32"/>
    <w:rsid w:val="009822B4"/>
    <w:rsid w:val="0098424E"/>
    <w:rsid w:val="00990FD3"/>
    <w:rsid w:val="00993777"/>
    <w:rsid w:val="009B0849"/>
    <w:rsid w:val="009C12E4"/>
    <w:rsid w:val="00A05A52"/>
    <w:rsid w:val="00A139AE"/>
    <w:rsid w:val="00A14B75"/>
    <w:rsid w:val="00A54AD2"/>
    <w:rsid w:val="00A61A6F"/>
    <w:rsid w:val="00A71B57"/>
    <w:rsid w:val="00A95B2D"/>
    <w:rsid w:val="00A9662C"/>
    <w:rsid w:val="00AA6128"/>
    <w:rsid w:val="00AC1CA4"/>
    <w:rsid w:val="00AF1D53"/>
    <w:rsid w:val="00B13899"/>
    <w:rsid w:val="00B146CA"/>
    <w:rsid w:val="00B32FA1"/>
    <w:rsid w:val="00B4749D"/>
    <w:rsid w:val="00B56DD6"/>
    <w:rsid w:val="00B576AF"/>
    <w:rsid w:val="00B90845"/>
    <w:rsid w:val="00BE4930"/>
    <w:rsid w:val="00C01353"/>
    <w:rsid w:val="00C05048"/>
    <w:rsid w:val="00C1511D"/>
    <w:rsid w:val="00C15A28"/>
    <w:rsid w:val="00C635DB"/>
    <w:rsid w:val="00C668D0"/>
    <w:rsid w:val="00C76B5B"/>
    <w:rsid w:val="00C90D00"/>
    <w:rsid w:val="00CB35CC"/>
    <w:rsid w:val="00CB7C53"/>
    <w:rsid w:val="00CD330D"/>
    <w:rsid w:val="00CF0A76"/>
    <w:rsid w:val="00D15777"/>
    <w:rsid w:val="00D27835"/>
    <w:rsid w:val="00D476A9"/>
    <w:rsid w:val="00D849E4"/>
    <w:rsid w:val="00DA06B1"/>
    <w:rsid w:val="00DA261B"/>
    <w:rsid w:val="00DB1BDB"/>
    <w:rsid w:val="00DC3F47"/>
    <w:rsid w:val="00DF2E53"/>
    <w:rsid w:val="00E13993"/>
    <w:rsid w:val="00E37FF1"/>
    <w:rsid w:val="00E57F47"/>
    <w:rsid w:val="00E841B5"/>
    <w:rsid w:val="00E846E4"/>
    <w:rsid w:val="00E90A0F"/>
    <w:rsid w:val="00EB0C66"/>
    <w:rsid w:val="00EE5149"/>
    <w:rsid w:val="00F018E2"/>
    <w:rsid w:val="00F02C67"/>
    <w:rsid w:val="00F22300"/>
    <w:rsid w:val="00F23EC2"/>
    <w:rsid w:val="00F449B0"/>
    <w:rsid w:val="00F66424"/>
    <w:rsid w:val="00F74B94"/>
    <w:rsid w:val="00F97A7F"/>
    <w:rsid w:val="00FB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E956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2300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2300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rsid w:val="00857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1399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13993"/>
    <w:rPr>
      <w:rFonts w:ascii="Times New Roman" w:hAnsi="Times New Roman" w:cs="Times New Roman"/>
      <w:sz w:val="24"/>
    </w:rPr>
  </w:style>
  <w:style w:type="paragraph" w:customStyle="1" w:styleId="ae">
    <w:name w:val="Прижатый влево"/>
    <w:basedOn w:val="a"/>
    <w:next w:val="a"/>
    <w:rsid w:val="00D849E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Гудкова Ирина Витальевна</cp:lastModifiedBy>
  <cp:revision>60</cp:revision>
  <cp:lastPrinted>2024-10-31T12:26:00Z</cp:lastPrinted>
  <dcterms:created xsi:type="dcterms:W3CDTF">2021-04-06T03:36:00Z</dcterms:created>
  <dcterms:modified xsi:type="dcterms:W3CDTF">2024-10-31T12:29:00Z</dcterms:modified>
</cp:coreProperties>
</file>