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23.04.2026 №357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right="5101"/>
        <w:jc w:val="both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 утверждении административного регламента предоставления муниципальной услуги "Государственная регистрация заявлений о проведении общественной экологической экспертизы"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федеральными законами от 27.07.2010 №210-ФЗ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"Об организации предоставления государственных и муниципальных услуг",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06.10.2003 №131-ФЗ "Об общих принципах организации местного самоуправления в Российской Федерации", от 23.11.1995 №174-ФЗ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"Об экологической экспертизе", постановлениями Правительства Российской Федерации от 20.07.2021 №1228 "Об утверждении Правил разработки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отдельных положений актов Правительства Российской Федерации",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администрации города от 25.10.2024 №950 "О Порядке разработки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утверждения административных регламентов предоставления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услуг":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 Утвердить административный регламент предоставления муниципальной услуги "Государственная регистрация заявлений о проведении общественной экологической экспертизы" согласно приложению.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утратившими силу постановления администрации города: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27.02.2019 №122 "Об утверждении административного регламента предоставления муниципальной услуги "Государственная регистрация заявлений о проведении общественной экологической экспертизы";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31.01.202</w:t>
      </w:r>
      <w:r>
        <w:rPr>
          <w:rFonts w:ascii="Times New Roman" w:hAnsi="Times New Roman" w:cs="Times New Roman"/>
          <w:sz w:val="28"/>
          <w:szCs w:val="28"/>
        </w:rPr>
        <w:t xml:space="preserve">0 №77 "О внесении изменений в постановление администрации города от 27.02.2019 №122 "Об утверждении административного регламента предоставления муниципальной услуги "Государственная регистрация заявлений о проведении общественной экологической экспертизы";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29.10.2020 №922 "О внесении изменений в приложение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поста</w:t>
      </w:r>
      <w:r>
        <w:rPr>
          <w:rFonts w:ascii="Times New Roman" w:hAnsi="Times New Roman" w:cs="Times New Roman"/>
          <w:sz w:val="28"/>
          <w:szCs w:val="28"/>
        </w:rPr>
        <w:t xml:space="preserve">новлению администрации города от 27.02.2019 №122 "Об утверждении административного регламента предоставления муниципальной услуги "Государственная регистрация заявлений о проведении общественной экологической экспертизы" (с изменениями от 31.01.2020 №77)";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от 11.05.2021 №368 "О внесении изменений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к пост</w:t>
      </w:r>
      <w:r>
        <w:rPr>
          <w:rFonts w:ascii="Times New Roman" w:hAnsi="Times New Roman" w:cs="Times New Roman"/>
          <w:sz w:val="28"/>
          <w:szCs w:val="28"/>
        </w:rPr>
        <w:t xml:space="preserve">ановлению администрации города от 27.02.2019 №122 "Об утверждении административного регламента предоставления муниципальной услуги "Государственная регистрация заявлений о проведении общественной экологической экспертизы" (с изменениями от 31.01.2020 №77,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29.10.2020 №922)";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15.12.2023 №1104 "О внесении изменений в приложение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от 2</w:t>
      </w:r>
      <w:r>
        <w:rPr>
          <w:rFonts w:ascii="Times New Roman" w:hAnsi="Times New Roman" w:cs="Times New Roman"/>
          <w:sz w:val="28"/>
          <w:szCs w:val="28"/>
        </w:rPr>
        <w:t xml:space="preserve">7.02.2019 №122 "Об утверждении административного регламента предоставления муниципальной услуги "Государственная регистрация заявлений о проведении общественной экологической экспертизы" (с изменениями от 31.01.2020 №77, 29.10.2020 №922, 11.05.2021 №368)".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после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за выполнением постановления возложить на заместителя главы города С.И. Ефремова, начальника управления по природопользованию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экологии администрации города Ф.Ф. Кадрова.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города                                                                                          И.Н. Мурашко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595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  <w:t xml:space="preserve">Приложение к постановлению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595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595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23.04.2026 №357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"Государственная регистрация заявлений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общественной экологической экспертизы"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Общие положения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Предмет регулирования административного регламента.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Административный регламент разработан в целях повышения качества предоставления и доступности муниципальной услуги, устанавливает сроки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последовательность административных процедур и административных действий Управления при предоставлении муниципальной услуги, а также порядок и стандарт предоставления муниципальной услуги.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Перечень условных обозначен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ий и сокращений, используемых                         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административном регламенте, приведен в приложении 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 административному регламенту.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1.2. Круг заявителей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Заявителями на получение муниципальной услуги являются общественные объединения и другие негосударственные некоммерческие организации, основным направлением деятельности которых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их уставами является охрана окружающей среды, в том числе организация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 проведение экологической экспертизы, и которые зарегистрированы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порядке, установленном законода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тельством Российской Федерации.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предоставлении муниципальной услуги от имени заявителей вправе обратиться их представители, действующие в силу закона или на основании доверенности, оформленной в 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1.3. Требование предоставления заявителю муниципальной услуги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 в федеральной государственной информационной системе "Единый портал государственных и муниципальных услуг (функций)" (с момента реализации технической возможности).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Муниципальная услу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га предоставляется исходя из общих признаков заявителя, обратившегося за предоставлением муниципальной услуги, а также из результата ее предоставления. Идентификаторы категорий (признаков) заявителей приведены в приложении 2 к административному регламенту.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Муниципальная услуга предоставляется заявителю в соответствии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 категориями (признаками) заявителя по результатам получения ответов (сведений) от заявителя, указанных им в заявлении, представленном по форме согласно приложению 3 к административному регламенту.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 xml:space="preserve">II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. Стандарт предоставления муниципальной услуги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774"/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2.1. Наименование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Наименование муниципальной услуги: "Государственная регистрация заявлений о проведении общественной экологической экспертизы"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2.2. Наименование органа, предоставляющего муниципальную услугу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Органом, предоставляющим муниципальную услугу, является администрация города Нижневартовска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Style w:val="100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Непосредственное предоставление муниципальной услуги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структурное подразделение администрации города Нижневартовска - управление по природопользованию и экологии администрации города Нижневартовска.</w:t>
      </w:r>
      <w:r>
        <w:rPr>
          <w:rStyle w:val="1002"/>
          <w:rFonts w:ascii="Times New Roman" w:hAnsi="Times New Roman" w:cs="Times New Roman"/>
          <w:sz w:val="28"/>
          <w:szCs w:val="28"/>
        </w:rPr>
      </w:r>
      <w:r>
        <w:rPr>
          <w:rStyle w:val="1002"/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 получением муниципальной услуги заявитель может обратиться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Управление лично, а также в МФЦ в части подачи заявления и получения результата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Предоставление муниципальной услуги в МФЦ осуществляется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 основании соглашения о взаимодействии.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Результат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уведомление о государственной регистрации заявления о проведении общественной экологической экспертизы;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решение об отказе в предоставлении муниципальной услуги по форме согласно приложению 4 к административному регламенту.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Формирование реестровой записи в качестве результата предоставления муниципальной услуги не предусмотрено.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Заявление регистрируется в Журнале по форме согласно приложению 5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 административному регламенту.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Документом, содержащим решение о предоставлении муниципальной услуги, является уведомление о государственной регистрации заявления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проведении общественной экологической экспертизы.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Результат предоставления муниципальной услуги оформляется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письменной форме на фирменном бланке Управления за подписью начальника Управления либо лица, его замещающего.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Результат предоставления муниципальной услуги может быть получен путем личного обращения в Управление, в МФЦ, направлен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почтовым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тправлением с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уведомлением о вручении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green"/>
        </w:rPr>
      </w:r>
      <w:r>
        <w:rPr>
          <w:rFonts w:ascii="Times New Roman" w:hAnsi="Times New Roman" w:cs="Times New Roman"/>
          <w:sz w:val="28"/>
          <w:szCs w:val="28"/>
          <w:highlight w:val="green"/>
        </w:rPr>
      </w:r>
    </w:p>
    <w:p>
      <w:pPr>
        <w:pStyle w:val="774"/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имальный срок предоставления муниципальной услуги составляет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7 календарных дней с даты регистрации заявления в Управлении.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обращения заявителя за по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лучением муниципальной услуги                  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МФЦ срок предоставления муниципальной услуги исчисляется со дня регистрации заявления в Управлении.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2.5. Размер платы, взимаемой с заявителя при предоставлении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муниципальной услуги, и способы ее взимания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contextualSpacing/>
        <w:ind w:firstLine="709"/>
        <w:jc w:val="both"/>
        <w:spacing w:after="0" w:line="240" w:lineRule="auto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Взимание государственной пошлины или иной платы за предоставление муниципальной услуги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 предусмотрено.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Максимальный срок ожидания в очереди при подаче заявителем запроса и при получении результата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при получении результата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Управлении или МФЦ составляет 15 минут.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Срок регистрации запроса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Регистрация заявления в Управлении осуществляется в СЭД в течение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1 рабочего дня со дня поступления заявления и документов.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через МФЦ, регистрируется специалистом МФЦ в АИС МФЦ в соответствии с регламентом работы МФЦ. Заявление регистрируется Управлением не позднее следующего рабочего дня после поступления заявления и документов из МФЦ.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2.8. Требования к помещениям, в которых предоставляется муниципальная услуга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Требования к помещениям, в которых предоставляется муниципальная услуга, размещены на официальном сайте в информационно-телекоммуникационной сети "Интернет", а также в ЕПГУ (с момента реализации технической возможности).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Требования к комфортности и доступности пр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едоставления муниципальной услуги в МФЦ устанавливаются постановлением Правительства Российской Федерации от 22.12.2012 №1376 "Об утверждении Правил организации деятельности многофункциональных центров предоставления государственных и муниципальных услуг".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spacing w:after="0" w:line="240" w:lineRule="auto"/>
        <w:rPr>
          <w:rFonts w:ascii="Times New Roman" w:hAnsi="Times New Roman" w:cs="Times New Roman"/>
          <w:strike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2.9. Показатели доступности и качества муниципальной услуги.</w:t>
      </w:r>
      <w:r>
        <w:rPr>
          <w:rFonts w:ascii="Times New Roman" w:hAnsi="Times New Roman" w:cs="Times New Roman"/>
          <w:strike/>
          <w:sz w:val="28"/>
          <w:szCs w:val="28"/>
          <w:highlight w:val="white"/>
        </w:rPr>
      </w:r>
      <w:r>
        <w:rPr>
          <w:rFonts w:ascii="Times New Roman" w:hAnsi="Times New Roman" w:cs="Times New Roman"/>
          <w:strike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Показатели доступности и качества муниципальной услуги размещены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официальном сайте в информационно-телекоммуникационной сети "Интернет", а также в ЕПГУ (с момента реализации технической возможности).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Иные требования к предоставлению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 государственных и муниципальных услуг в многофункциональных центрах и особенности предоставления муниципальной услуги в электронной форме.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Услуги, необходимые и обязательные для предоставления муниципальной услуги, законодательством Российской Федерации не предусмотрены.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предоставления муниципальной услуги использует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система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За получением муниципальной услуги заявитель может также обратиться в 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ФЦ в части подачи заявления и получения результата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Предоставление муниципальной услуги в МФЦ осуществляется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принципу "одного окна" в соответствии с законодательством Российской Федерации, а также соглашением о взаимодействии.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МФЦ осуществляет выдачу заявителю результата предоставления муниципальной услуги на бумажном носителе, подтверждающего содержание электронного документа.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2.11. Исчерпывающий перече</w:t>
      </w:r>
      <w:r>
        <w:rPr>
          <w:rFonts w:ascii="Times New Roman" w:hAnsi="Times New Roman" w:cs="Times New Roman"/>
          <w:sz w:val="28"/>
          <w:szCs w:val="28"/>
        </w:rPr>
        <w:t xml:space="preserve">нь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с законодательными и иными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с разделением на документы, которые заявитель должен представить самостоятельно, и документы,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которые заявитель вправе представить по собственной инициативе, так как они подлежат представлению в рамка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х межведомственного информационного взаимодействия, приведен в приложении 6 к административному регламенту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учетом пункта 34(3) Правил.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Способы подачи заявления и документов указаны в приложении 6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к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административному регламенту в соответствии с требованиями, установленными пунктом 34(3) Правил.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2.12. Исчерпывающий пе</w:t>
      </w:r>
      <w:r>
        <w:rPr>
          <w:rFonts w:ascii="Times New Roman" w:hAnsi="Times New Roman" w:cs="Times New Roman"/>
          <w:sz w:val="28"/>
          <w:szCs w:val="28"/>
        </w:rPr>
        <w:t xml:space="preserve">речень оснований для отказа в приеме запроса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заявления и документов отсутствуют.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отсутствуют.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Исчерпывающий п</w:t>
      </w:r>
      <w:r>
        <w:rPr>
          <w:rFonts w:ascii="Times New Roman" w:hAnsi="Times New Roman" w:cs="Times New Roman"/>
          <w:sz w:val="28"/>
          <w:szCs w:val="28"/>
        </w:rPr>
        <w:t xml:space="preserve">еречень оснований для отказа в предоставлении муниципальной услуги: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- непредставление документов, указанных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приложении 6 к административному регламенту;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 наличие в документах, представленных согласно приложению 6 к административному регламенту, неполных и (или) недостоверных сведений;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- общественная экологическая экспертиза ранее была дважды проведена в отношении объекта общественной экологической экспертизы;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- заявление было подано в отношении объекта, сведения о котором составляют государственную, коммерческую или иную охраняемую законом тайну;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- общественное объединение или другая негосударственная некоммерческая организация на день обращения за предоставлением муниципальной услуги не соответствуют требованиям пункта 2 статьи 20 Федерального закона №174-ФЗ;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- требования к содержанию заявления, предусмотренные статьей 23 Федерального закона №174-ФЗ, не выполнены;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- лицо, инициировавшее проведение общественной экологической экспертизы, не соответствует требованиям статьи 20 Федерального закона №174-ФЗ;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- указанные в заявлении кандидатуры лиц, привлекаемых к проведению общественной экологической экспертизы, не соответствуют требованиям, установленным Федеральным законом №174-ФЗ;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- представление документов неуполномоченным лицом.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заявления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оснований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или для отказа в предоставлении муниципал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ьной услуги с учетом категории (признаков) заяв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ителя приведен в приложении 7                               к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административному регламенту.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2.13. Порядок исправления допущенных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опечаток 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(или)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ошибок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выданных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результате предоставления муниципальной услуги документах,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том числе исчерпывающий перечень оснований для отказа в исправлении таких опечаток 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(или)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ошибок</w:t>
      </w:r>
      <w:r>
        <w:rPr>
          <w:rFonts w:ascii="Times New Roman" w:hAnsi="Times New Roman" w:cs="Times New Roman"/>
          <w:highlight w:val="white"/>
        </w:rPr>
        <w:t xml:space="preserve">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Заявитель при обнаружении опечаток и (или) ошибок в документе, выданном в результате предоставления муниципальной услуги, обращается лично или посредством почтового отправления в Управление с заявлением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об исправлении опечаток и (или) ошибок по форме согласно приложению 8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 административному регламенту.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Регистрация заявления об исправлении опечаток и</w:t>
      </w:r>
      <w:r>
        <w:rPr>
          <w:rFonts w:ascii="Times New Roman" w:hAnsi="Times New Roman" w:cs="Times New Roman"/>
          <w:sz w:val="28"/>
          <w:szCs w:val="28"/>
        </w:rPr>
        <w:t xml:space="preserve"> (или) ошибок осуществляется в Управлении в СЭД в течение 1 рабочего дня со дня поступления такого заявления.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при получении заявления об исправлении опечаток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(или) ошибок рассматривает необходимость внесения соответствующих изменений в документ, являющийся результатом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обеспечивает устранение опечаток и (или) ошибок в документе, являющемся результатом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устранения опечаток и (или) ошибок в документе, являющемся результатом предоставления муниципальной услуги, не должен превышать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3 рабочих дней с даты регистрации заявления об исправлении опечаток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(или) ошибок.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исправлении опечаток и (или) ошибок в документе, выданном в результате предоставления муниципальной услуги: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представление заявления об исправлении опечаток и (или) ошибок неуполномоченным лицом;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отсутствие опечаток и (или)</w:t>
      </w:r>
      <w:r>
        <w:rPr>
          <w:rFonts w:ascii="Times New Roman" w:hAnsi="Times New Roman" w:cs="Times New Roman"/>
          <w:sz w:val="28"/>
          <w:szCs w:val="28"/>
        </w:rPr>
        <w:t xml:space="preserve"> ошибок в документе, выданном                                  в </w:t>
      </w:r>
      <w:r>
        <w:rPr>
          <w:rFonts w:ascii="Times New Roman" w:hAnsi="Times New Roman" w:cs="Times New Roman"/>
          <w:sz w:val="28"/>
          <w:szCs w:val="28"/>
        </w:rPr>
        <w:t xml:space="preserve">результате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исправлении опечаток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(или) ошибок в документе, выданном в результате предоставления муниципальной услуги, специалист Управления отказывает заявителю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исправлении опечаток и (или) ошибок в выданном в результате предоставления муниципальной услуги документ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 путем нап</w:t>
      </w:r>
      <w:r>
        <w:rPr>
          <w:rFonts w:ascii="Times New Roman" w:hAnsi="Times New Roman" w:cs="Times New Roman"/>
          <w:sz w:val="28"/>
          <w:szCs w:val="28"/>
        </w:rPr>
        <w:t xml:space="preserve">равления уведомления об отказе в исправлении опечаток и (или) ошибок в выданном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предоставления муниципальной услуги документе по форме согласно приложению 9 к административному регламенту в срок,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не превышающий 3 рабочих дней с даты регистрации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2.14. Порядок выдачи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дубликата документа, выданного в результате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предоставления муниципальной услуги, в том числе исчерпывающий перечень оснований для отказа в выдаче такого дубликата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Основанием для выдачи дубликата документа, выданного в результате предоставления муниципальной услуги, является представление (направление) заявителем заявления о выдаче дубликата по форме согласно приложению 10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 административному регламенту в адрес Управления лично или почтовым отправлением.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рассматривает заявление о выдаче дубликата и проводит проверку указанных в заявлении сведений.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осуществляет выдачу (направление) заявителю дубликата документа, выданного в результате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или направляет заявителю уведомление с </w:t>
      </w:r>
      <w:r>
        <w:rPr>
          <w:rFonts w:ascii="Times New Roman" w:hAnsi="Times New Roman" w:cs="Times New Roman"/>
          <w:sz w:val="28"/>
          <w:szCs w:val="28"/>
        </w:rPr>
        <w:t xml:space="preserve">обоснованным отказом в срок,                         не </w:t>
      </w:r>
      <w:r>
        <w:rPr>
          <w:rFonts w:ascii="Times New Roman" w:hAnsi="Times New Roman" w:cs="Times New Roman"/>
          <w:sz w:val="28"/>
          <w:szCs w:val="28"/>
        </w:rPr>
        <w:t xml:space="preserve">превышающий 10 рабочих дней со дня поступления заявлени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я о выдаче дубликата в Управление.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дубликата осуществляется способом, указанным в заявлении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о выдаче дубликата.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Основания для отказа в выдаче дубликата документа, выданного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результате предоставлени</w:t>
      </w:r>
      <w:r>
        <w:rPr>
          <w:rFonts w:ascii="Times New Roman" w:hAnsi="Times New Roman" w:cs="Times New Roman"/>
          <w:sz w:val="28"/>
          <w:szCs w:val="28"/>
        </w:rPr>
        <w:t xml:space="preserve">я муниципальной услуги: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отсутствие в заявлении о выдаче дубликата информации, позволяющей идентифицировать ранее выданную информацию;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представление заявления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выдаче дубликата</w:t>
      </w:r>
      <w:r>
        <w:rPr>
          <w:rFonts w:ascii="Times New Roman" w:hAnsi="Times New Roman" w:cs="Times New Roman"/>
          <w:sz w:val="28"/>
          <w:szCs w:val="28"/>
        </w:rPr>
        <w:t xml:space="preserve"> неуполномоченным лицом.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Порядок оставления запроса без рассмотрения.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Заявитель не позднее 1 рабочего дня, предшествующего дню окончания срока предоставления муниципальной услуги, вправе обратиться в Управление с заявлением об оставлении заявления без рассмотрения в произвольной форме.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поступившего заявления об оставлении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без рассмотрения Управление принимает решение об оставлении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без рассмотрения.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Решение об оставлении заявления без рассмотрения направляется заявителю не позднее 1 рабочего дня, следующего за днем поступления заявления об оставлении заявления без рассмотрения в Управление.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Оставление заявления без рассмотрения не препятствует повторному обращению заявителя в Управление за получением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b/>
          <w:sz w:val="28"/>
          <w:szCs w:val="28"/>
        </w:rPr>
        <w:t xml:space="preserve">. Состав, последовательность и сроки выполнения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административных процедур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Перечень осуществляемых при предоставлении муниципальной услуги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профилирование заявителя;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прием заявления и документов;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межведомственное информационное взаимодействие;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принятие решения о предоставлении (об отказе в предоставлении) муниципальной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предоставление результата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3.2.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оставление муниципальной услуги в упреждающем (проактивном) режиме.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упреждающем (проактивном) режиме не предусмотрено.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 xml:space="preserve">IV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. Способы информирования заявителя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об изменении статуса рассмотрения запроса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Информирование заявителя об изменении статуса рассмотрения заявления ос</w:t>
      </w:r>
      <w:r>
        <w:rPr>
          <w:rFonts w:ascii="Times New Roman" w:hAnsi="Times New Roman" w:cs="Times New Roman"/>
          <w:sz w:val="28"/>
          <w:szCs w:val="28"/>
        </w:rPr>
        <w:t xml:space="preserve">уществляется посредством направления информации на адрес электронной почты, указанный в заявлении.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left="411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1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обозначений и сокращений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Административный регламент - административный регламент предоставления му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ниципальной услуги "Государственная регистрация заявлений о проведении общественной экологической экспертизы".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 Муниципальная услуга - муниципальная услуга "Государственная регистрация заявлений о проведении общественной экологической экспертизы".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Управление - управление по природопользованию и экологии администрации города Нижневартовска.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 МФЦ - филиал автономного учреждения Ханты-Мансийского автономного округа - Югры "Многофункциональный центр предоставления государственных и муниципальных услуг Югры" в городе Нижневартовске.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оглашение о взаимодействии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соглашение о взаимодействии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между автономным учреждением Ханты-Мансийского автономного округа - Югры "Многофункциональный центр предоставления государственных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муниципальных услуг Югры" и администрацией города Нижневартовска.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6. Заявители - общественные объединения и другие негосударственные некоммерческие организации, основным направлением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которых в соответствии с их уставами является охрана окружающей среды,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том числе организация и проведение экологической экспертизы, и которые зарегистрированы в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Профилирование - определение признаков заявителя.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8. Заявление - запрос о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Документы - документы и (или) информация, необходимые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10. Журнал - журнал государственной регистрации заявлений организаций (объединений) о проведении общественной экологической экспертизы.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shd w:val="clear" w:color="ffffff" w:fill="ffffff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11. Официальный сайт - официальный сайт органов местного самоуправления города Нижневартовска (https://www.n-vartovsk.ru/).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СЭД - система электронного документооборота администрации города Нижневартовска.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АИС МФЦ - автоматизированная информационная система многофункциональных центров.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14.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ЕПГУ - федеральная государственная информационная система "Единый портал государственных и муниципальных услуг (функций)".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15. Федеральный закон №174-ФЗ - Федеральный закон от 23.11.1995 №174-ФЗ "Об экологической экспертизе".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Правила - Правила разработки и утверждения административных регламентов предоставления государственных услуг, утвержденные постановлением Правительства Российской Федерации от 20.07.2021 №1228 "Об утверждении Правил разработки и утвер</w:t>
      </w:r>
      <w:r>
        <w:rPr>
          <w:rFonts w:ascii="Times New Roman" w:hAnsi="Times New Roman" w:cs="Times New Roman"/>
          <w:sz w:val="28"/>
          <w:szCs w:val="28"/>
        </w:rPr>
        <w:t xml:space="preserve">ждения административных регламентов предоставления государственных услуг, о внесении изменений в 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Заявление об исправлении опечаток и (или) ошибок - заявление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об исправлении допущенных опечаток и (или) ошибок в документе, выданном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предоставления муниципальной услуги.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Заявлени</w:t>
      </w:r>
      <w:r>
        <w:rPr>
          <w:rFonts w:ascii="Times New Roman" w:hAnsi="Times New Roman" w:cs="Times New Roman"/>
          <w:sz w:val="28"/>
          <w:szCs w:val="28"/>
        </w:rPr>
        <w:t xml:space="preserve">е о выдаче дубликата - заявление</w:t>
      </w:r>
      <w:r>
        <w:rPr>
          <w:rFonts w:ascii="Times New Roman" w:hAnsi="Times New Roman" w:cs="Times New Roman"/>
          <w:sz w:val="28"/>
          <w:szCs w:val="28"/>
        </w:rPr>
        <w:t xml:space="preserve"> о выдаче дубликата документа, выданного в результате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left="411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административному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Идентификаторы категорий (признаков) заявителей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96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60"/>
        <w:gridCol w:w="3969"/>
        <w:gridCol w:w="51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560" w:type="dxa"/>
            <w:vAlign w:val="top"/>
            <w:textDirection w:val="lrTb"/>
            <w:noWrap w:val="false"/>
          </w:tcPr>
          <w:p>
            <w:pPr>
              <w:pStyle w:val="774"/>
              <w:ind w:left="57" w:right="5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</w:r>
          </w:p>
          <w:p>
            <w:pPr>
              <w:pStyle w:val="774"/>
              <w:ind w:left="57" w:right="5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774"/>
              <w:ind w:left="57" w:right="5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Признак заявителя</w:t>
            </w: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</w:r>
          </w:p>
        </w:tc>
        <w:tc>
          <w:tcPr>
            <w:tcW w:w="5115" w:type="dxa"/>
            <w:vAlign w:val="top"/>
            <w:textDirection w:val="lrTb"/>
            <w:noWrap w:val="false"/>
          </w:tcPr>
          <w:p>
            <w:pPr>
              <w:pStyle w:val="774"/>
              <w:ind w:left="57" w:right="5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Значения признака заявителя</w:t>
            </w: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gridSpan w:val="3"/>
            <w:tcW w:w="9644" w:type="dxa"/>
            <w:vAlign w:val="center"/>
            <w:textDirection w:val="lrTb"/>
            <w:noWrap w:val="false"/>
          </w:tcPr>
          <w:p>
            <w:pPr>
              <w:pStyle w:val="774"/>
              <w:ind w:left="57" w:right="57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Результат "Уведомление о государственной регистрации заявления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о проведении общественной экологической экспертизы"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560" w:type="dxa"/>
            <w:vAlign w:val="top"/>
            <w:textDirection w:val="lrTb"/>
            <w:noWrap w:val="false"/>
          </w:tcPr>
          <w:p>
            <w:pPr>
              <w:pStyle w:val="774"/>
              <w:ind w:left="57" w:right="5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774"/>
              <w:ind w:left="57" w:right="57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Категория заявителя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115" w:type="dxa"/>
            <w:vAlign w:val="center"/>
            <w:textDirection w:val="lrTb"/>
            <w:noWrap w:val="false"/>
          </w:tcPr>
          <w:p>
            <w:pPr>
              <w:pStyle w:val="774"/>
              <w:ind w:left="57" w:right="57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ю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ридическое лицо (общественная организация (объединение))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560" w:type="dxa"/>
            <w:vAlign w:val="top"/>
            <w:textDirection w:val="lrTb"/>
            <w:noWrap w:val="false"/>
          </w:tcPr>
          <w:p>
            <w:pPr>
              <w:pStyle w:val="774"/>
              <w:ind w:left="57" w:right="57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2.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774"/>
              <w:ind w:left="57" w:right="57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Кто обращается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115" w:type="dxa"/>
            <w:vAlign w:val="center"/>
            <w:textDirection w:val="lrTb"/>
            <w:noWrap w:val="false"/>
          </w:tcPr>
          <w:p>
            <w:pPr>
              <w:pStyle w:val="774"/>
              <w:ind w:left="57" w:right="57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заявитель;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57" w:right="57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представитель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</w:tbl>
    <w:p>
      <w:pPr>
        <w:pStyle w:val="774"/>
        <w:ind w:left="411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природопользованию и экологии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Нижневартовска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(инициалы, фамилия начальника управления)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(наименование заявителя полностью)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 проведении общественной экологической экспертизы*.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0"/>
        </w:rPr>
        <w:t xml:space="preserve">(наименование общественной организации (объединения))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юридический адрес: __________________________________________________,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адрес места нахождения: 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телефон: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____________________________________________________________,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уставная деятельность которой (которого) состоит в 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____________________________________________________________________,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0"/>
        </w:rPr>
        <w:t xml:space="preserve">(характер предусмотренной уставом деятельности)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соответствии с главой IV Федерального закона от 23.11.1995 №174-ФЗ</w:t>
      </w:r>
      <w:r>
        <w:rPr>
          <w:rFonts w:ascii="Times New Roman" w:hAnsi="Times New Roman" w:eastAsia="Calibri" w:cs="Times New Roman"/>
          <w:sz w:val="28"/>
          <w:szCs w:val="28"/>
        </w:rPr>
        <w:t xml:space="preserve">           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 "Об экологической экспертизе" ходатайствует о проведении общественной экологической экспертизы по 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____________________________________________________________________.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0"/>
        </w:rPr>
        <w:t xml:space="preserve">(указать сведения об объекте общественной экологической экспертизы)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состав экспертной комиссии общественной экологической экспертизы входят: ______________________________________________________________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0"/>
        </w:rPr>
        <w:t xml:space="preserve">(инициалы, фамилия, должность)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 общественной экологической экспертизы: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"____" ___________ 20___ г. по "____" ___________ 20___ г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Документ, являющийся результатом предоставления муниципальной услуги, прошу выдать (направить) (нужное отметить галочкой):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</w:t>
      </w:r>
      <w:r>
        <w:rPr>
          <w:rFonts w:ascii="Times New Roman" w:hAnsi="Times New Roman" w:cs="Times New Roman"/>
          <w:sz w:val="28"/>
          <w:szCs w:val="28"/>
        </w:rPr>
        <w:t xml:space="preserve"> в управлении по природопользованию и экологии администрации города Нижневартовска при личном обращении;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</w:t>
      </w:r>
      <w:r>
        <w:rPr>
          <w:rFonts w:ascii="Times New Roman" w:hAnsi="Times New Roman" w:cs="Times New Roman"/>
          <w:sz w:val="28"/>
          <w:szCs w:val="28"/>
        </w:rPr>
        <w:t xml:space="preserve"> в многофункциональном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услуг на бумажном носителе.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</w:t>
      </w:r>
      <w:r>
        <w:rPr>
          <w:rFonts w:ascii="Times New Roman" w:hAnsi="Times New Roman" w:eastAsia="Calibri" w:cs="Times New Roman"/>
          <w:sz w:val="28"/>
          <w:szCs w:val="28"/>
        </w:rPr>
        <w:t xml:space="preserve">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иложение**: ____________________________________________________________________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>
        <w:tblPrEx/>
        <w:trPr/>
        <w:tc>
          <w:tcPr>
            <w:tcBorders>
              <w:bottom w:val="single" w:color="000000" w:sz="4" w:space="0"/>
            </w:tcBorders>
            <w:tcW w:w="328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W w:w="328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285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284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(дата)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W w:w="3284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  <w:tc>
          <w:tcPr>
            <w:tcBorders>
              <w:top w:val="single" w:color="000000" w:sz="4" w:space="0"/>
            </w:tcBorders>
            <w:tcW w:w="3285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8"/>
              </w:rPr>
            </w:r>
            <w:r>
              <w:rPr>
                <w:rFonts w:ascii="Times New Roman" w:hAnsi="Times New Roman" w:cs="Times New Roman"/>
                <w:sz w:val="28"/>
              </w:rPr>
            </w:r>
          </w:p>
        </w:tc>
      </w:tr>
    </w:tbl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*</w:t>
      </w:r>
      <w:r>
        <w:rPr>
          <w:rFonts w:ascii="Times New Roman" w:hAnsi="Times New Roman" w:cs="Times New Roman"/>
          <w:sz w:val="24"/>
          <w:szCs w:val="28"/>
        </w:rPr>
        <w:t xml:space="preserve">Поступившее от заявителя заявление о проведении общественной э</w:t>
      </w:r>
      <w:r>
        <w:rPr>
          <w:rFonts w:ascii="Times New Roman" w:hAnsi="Times New Roman" w:cs="Times New Roman"/>
          <w:sz w:val="24"/>
          <w:szCs w:val="28"/>
        </w:rPr>
        <w:t xml:space="preserve">кологической экспертизы приравнивается к согласию такого заявителя с обработкой его персональных данных в управлении по природопользованию и экологии администрации города Нижневартовска в целях и объеме, необходимых для предоставления муниципальной услуги.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774"/>
        <w:spacing w:after="0" w:line="240" w:lineRule="auto"/>
        <w:rPr>
          <w:rFonts w:ascii="Times New Roman" w:hAnsi="Times New Roman" w:eastAsia="Calibri" w:cs="Times New Roman"/>
          <w:sz w:val="32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**По желанию.</w:t>
      </w:r>
      <w:r>
        <w:rPr>
          <w:rFonts w:ascii="Times New Roman" w:hAnsi="Times New Roman" w:eastAsia="Calibri" w:cs="Times New Roman"/>
          <w:sz w:val="32"/>
          <w:szCs w:val="28"/>
        </w:rPr>
      </w:r>
      <w:r>
        <w:rPr>
          <w:rFonts w:ascii="Times New Roman" w:hAnsi="Times New Roman" w:eastAsia="Calibri" w:cs="Times New Roman"/>
          <w:sz w:val="32"/>
          <w:szCs w:val="28"/>
        </w:rPr>
      </w:r>
    </w:p>
    <w:p>
      <w:pPr>
        <w:pStyle w:val="774"/>
        <w:ind w:left="411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Фирменный бланк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управления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природопользованию и экологии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Нижневартовска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left="4820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Кому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 w:firstLine="425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highlight w:val="white"/>
        </w:rPr>
        <w:t xml:space="preserve">(наименование заявителя)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highlight w:val="white"/>
        </w:rPr>
        <w:t xml:space="preserve">(адрес, телефон, адрес электронной почты заявителя)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постановлением администрации города Нижневартовска от 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 №___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 "Об утверждении административного регламента предоставления 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(далее - административный регламент) управление по природопользованию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экологии администраци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города Нижневартовска (далее 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Управление) рассмотрело заявление о проведении общественной экологической экспертизы и приняло решение об отказе в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следующим основаниям: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24"/>
        <w:gridCol w:w="2835"/>
        <w:gridCol w:w="28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024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Ссылка на соответствующий пункт административного регламента,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 котором содержится основание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для отказа в предоставлении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муниципальной услуги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Наименование основания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для отказав предоставлении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муниципальной услуги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  <w:tc>
          <w:tcPr>
            <w:tcW w:w="2888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Разъяснение причины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принятия решения об отказе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 предоставлении 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муниципальной услуги</w:t>
            </w:r>
            <w:r>
              <w:rPr>
                <w:rFonts w:ascii="Times New Roman" w:hAnsi="Times New Roman" w:cs="Times New Roman"/>
                <w:b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02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888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02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888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Вы вправе повторно обратиться в Управление с заявлением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предоставлении муниципальной услуги после устранения указанного основания для отказа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Данный отказ может быть обжалован в досудебном порядке путем направления жалобы в Управление, а также в судебном порядке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18"/>
        <w:gridCol w:w="284"/>
        <w:gridCol w:w="3402"/>
        <w:gridCol w:w="283"/>
        <w:gridCol w:w="3366"/>
      </w:tblGrid>
      <w:tr>
        <w:tblPrEx/>
        <w:trPr/>
        <w:tc>
          <w:tcPr>
            <w:tcBorders>
              <w:bottom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366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(подпись, в том числе сведения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об электронной подписи)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3366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(инициалы, фамилия уполномоченного лица)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footnotePr/>
          <w:endnotePr/>
          <w:type w:val="nextPage"/>
          <w:pgSz w:w="11905" w:h="16838" w:orient="portrait"/>
          <w:pgMar w:top="1134" w:right="567" w:bottom="1134" w:left="1701" w:header="709" w:footer="709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left="921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  <w:highlight w:val="white"/>
        </w:rPr>
        <w:t xml:space="preserve">Журнал государственной регистрации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заявлений общественных организаций (объединений)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 проведении общественной экологической экспертизы (ОЭЭ)</w:t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460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1359"/>
        <w:gridCol w:w="1830"/>
        <w:gridCol w:w="1484"/>
        <w:gridCol w:w="793"/>
        <w:gridCol w:w="1182"/>
        <w:gridCol w:w="1986"/>
        <w:gridCol w:w="847"/>
        <w:gridCol w:w="1111"/>
        <w:gridCol w:w="2023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7"/>
        </w:trPr>
        <w:tc>
          <w:tcPr>
            <w:tcW w:w="426" w:type="dxa"/>
            <w:vAlign w:val="top"/>
            <w:vMerge w:val="restart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№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п/п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1359" w:type="dxa"/>
            <w:vAlign w:val="top"/>
            <w:vMerge w:val="restart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поступления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и входящий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номер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заявления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 проведении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ОЭЭ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1830" w:type="dxa"/>
            <w:vAlign w:val="top"/>
            <w:vMerge w:val="restart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организации,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осуществляющей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ОЭЭ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1484" w:type="dxa"/>
            <w:vAlign w:val="top"/>
            <w:vMerge w:val="restart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объекта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ОЭЭ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gridSpan w:val="2"/>
            <w:tcW w:w="1975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Плановые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сроки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проведения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ОЭЭ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1986" w:type="dxa"/>
            <w:vAlign w:val="top"/>
            <w:vMerge w:val="restart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Реквизиты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уведомления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 государственной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регистрации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или об отказе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в государственной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регистрации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заявления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о проведении ОЭЭ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white"/>
              </w:rPr>
              <w:t xml:space="preserve">(дата, номер)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gridSpan w:val="2"/>
            <w:tcW w:w="1958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Реквизиты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регистрационной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записи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 государственной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регистрации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заявления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 проведении ОЭЭ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023" w:type="dxa"/>
            <w:vAlign w:val="top"/>
            <w:vMerge w:val="restart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Отметка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 выдаче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(направлении)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заявителю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уведомления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 государственной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регистрации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или об отказе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 государственной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регистрации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заявления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 проведении ОЭЭ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Должность,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фамилия,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имя, отчество, подпись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специалиста,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выполнившего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запись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359" w:type="dxa"/>
            <w:vAlign w:val="top"/>
            <w:vMerge w:val="continue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830" w:type="dxa"/>
            <w:vAlign w:val="top"/>
            <w:vMerge w:val="continue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84" w:type="dxa"/>
            <w:vAlign w:val="top"/>
            <w:vMerge w:val="continue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793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начала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82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окончания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986" w:type="dxa"/>
            <w:vAlign w:val="top"/>
            <w:vMerge w:val="continue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дата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11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номер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023" w:type="dxa"/>
            <w:vAlign w:val="top"/>
            <w:vMerge w:val="continue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560" w:type="dxa"/>
            <w:vAlign w:val="top"/>
            <w:vMerge w:val="continue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26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359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830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84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793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82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11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023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774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26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359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830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484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793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82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847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111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023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774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77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left="326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headerReference w:type="first" r:id="rId10"/>
          <w:footnotePr/>
          <w:endnotePr/>
          <w:type w:val="nextPage"/>
          <w:pgSz w:w="16838" w:h="11905" w:orient="landscape"/>
          <w:pgMar w:top="1701" w:right="1134" w:bottom="567" w:left="1134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ind w:left="4253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Исчерпывающий перечень документов,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необходимых для предоставления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03"/>
        <w:gridCol w:w="52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gridSpan w:val="2"/>
            <w:tcW w:w="9747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Результат "Уведомление о государственной регистрации заявления о проведении общественной экологической экспертизы</w:t>
            </w:r>
            <w:r>
              <w:rPr>
                <w:rFonts w:ascii="Times New Roman" w:hAnsi="Times New Roman" w:cs="Times New Roman"/>
                <w:sz w:val="20"/>
              </w:rPr>
              <w:t xml:space="preserve">"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503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Категория заявителя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24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highlight w:val="yellow"/>
              </w:rPr>
              <w:t xml:space="preserve">ю</w:t>
            </w:r>
            <w:r>
              <w:rPr>
                <w:rFonts w:ascii="Times New Roman" w:hAnsi="Times New Roman" w:cs="Times New Roman"/>
                <w:sz w:val="20"/>
                <w:highlight w:val="yellow"/>
              </w:rPr>
              <w:t xml:space="preserve">ридическое лицо (общественная организации (объединение))</w:t>
            </w:r>
            <w:r>
              <w:rPr>
                <w:rFonts w:ascii="Times New Roman" w:hAnsi="Times New Roman" w:cs="Times New Roman"/>
                <w:sz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503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Исчерпывающий перечень документов, которые заявитель должен представить самостоятельно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24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аявление по форме согласно приложению 3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к административному регламенту;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окумент, удостоверяющий личность заявителя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503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Исчерпывающий перечень документов, которые заявитель должен представить самостоятельно (при обращении представителя)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24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аявление по форме согласно приложению 3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к административному регламенту;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окумент, удостоверяющий личность представителя;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503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Исчерпывающий перечень документов, которые заявитель вправе представить по собственной инициативе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24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сведения из Единого государственного реестра юридических лиц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503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Исчерпывающий перечень документов, которые заявитель вправе представить по собственной инициативе (при обращении представителя)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24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сведения из Единого государственного реестра юридических лиц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503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Способ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ы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подачи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24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личное обращение в Управление;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почтовое отправление (в случае подачи заявления путем направления почтового отправления верность заявления </w:t>
            </w: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и прилагаемых к нему копий документов должна быть засвидетельствована нотариусом);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личное обращение в МФЦ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</w:tbl>
    <w:p>
      <w:pPr>
        <w:pStyle w:val="774"/>
        <w:ind w:left="411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ind w:left="411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Исчерпывающий перечень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оснований для отказа в приеме заявления и документов,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оснований для приостановления предостав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ления муниципальной услуги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 для отказа в предоставлении муниципальной услуги</w:t>
      </w:r>
      <w:r>
        <w:rPr>
          <w:rFonts w:ascii="Times New Roman" w:hAnsi="Times New Roman" w:cs="Times New Roman"/>
          <w:b/>
          <w:bCs/>
          <w:highlight w:val="white"/>
        </w:rPr>
      </w:r>
      <w:r>
        <w:rPr>
          <w:rFonts w:ascii="Times New Roman" w:hAnsi="Times New Roman" w:cs="Times New Roman"/>
          <w:b/>
          <w:bCs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59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gridSpan w:val="2"/>
            <w:tcW w:w="9853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Результат "Уведомление о государственной регистрации заявления о проведении общественной экологической экспертизы</w:t>
            </w:r>
            <w:r>
              <w:rPr>
                <w:rFonts w:ascii="Times New Roman" w:hAnsi="Times New Roman" w:cs="Times New Roman"/>
                <w:sz w:val="20"/>
              </w:rPr>
              <w:t xml:space="preserve">"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3936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Категория заявителя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917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ю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ридическое лицо (общественная организации (объединение))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3936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Перечень оснований для отказа в приеме заявления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917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основания для отказа в приеме заявления и документов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не предусмотрены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3936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Перечень оснований для приостановления предоставления муниципальной услуги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917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основания для приостановления предоставления муниципальной услуги не предусмотрены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3936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Перечень оснований для отказа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в предоставлении муниципальной услуги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917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непредставление документов, указанных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в приложении 6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к административному регламенту;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наличие в документах, представленных согласно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приложению 6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к административному регламенту, неполных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и (или) недостоверных сведений;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общественная экологическая экспертиза ранее была дважды проведена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в отношении объекта общественной экологической экспертизы;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заявление было подано в отношении объекта, сведения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о котором составляют государственную, коммерческую или иную охраняемую законом тайну;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общественное объединение или другая негосударственная некоммерческая организация на день обращения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за предоставлением муниципальной услуги не соответствуют требованиям пункта 2 статьи 20 Федерального закона №174-ФЗ;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требования к содержанию заявления, предусмотренные статьей 23 Федерального закона №174-ФЗ, не выполнены;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лицо, инициировавшее проведение общественной экологической экспертизы, не соответствует требованиям статьи 20 Федерального закона №174-ФЗ;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указанные в заявлении кандидатуры лиц, привлекаемых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к проведению общественной экологической экспертизы,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не соответствуют требованиям, установленным Федеральным законом №174-ФЗ;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представление документов неуполномо</w:t>
            </w:r>
            <w:r>
              <w:rPr>
                <w:rFonts w:ascii="Times New Roman" w:hAnsi="Times New Roman" w:cs="Times New Roman"/>
                <w:sz w:val="20"/>
              </w:rPr>
              <w:t xml:space="preserve">ченным лицом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774"/>
        <w:ind w:left="411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природопользованию и экологии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Нижневартовска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(инициалы, фамилия начальника управления)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(наименование заявителя полностью)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исправлении допущенных опечаток и (или) ошибок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документе, выданном в результате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исправить допущенную опечатку и (или) ошибку в документе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(реквизиты документа, заявленного к исправлению)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именно: 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52"/>
        <w:gridCol w:w="288"/>
        <w:gridCol w:w="2547"/>
        <w:gridCol w:w="284"/>
        <w:gridCol w:w="2976"/>
      </w:tblGrid>
      <w:tr>
        <w:tblPrEx/>
        <w:trPr/>
        <w:tc>
          <w:tcPr>
            <w:tcBorders>
              <w:bottom w:val="single" w:color="000000" w:sz="4" w:space="0"/>
            </w:tcBorders>
            <w:tcW w:w="3652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547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652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(заявитель, представитель)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2547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</w:rPr>
        <w:t xml:space="preserve"> (дата)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left="411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Фирменный бланк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правления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природопользованию и экологии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Нижневартовска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496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496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4962"/>
        <w:jc w:val="center"/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0"/>
          <w:szCs w:val="28"/>
          <w:highlight w:val="white"/>
        </w:rPr>
        <w:t xml:space="preserve">(фамилия, имя, отчество</w:t>
      </w:r>
      <w:r>
        <w:rPr>
          <w:rFonts w:ascii="Times New Roman" w:hAnsi="Times New Roman" w:cs="Times New Roman"/>
          <w:sz w:val="20"/>
          <w:szCs w:val="28"/>
        </w:rPr>
      </w:r>
      <w:r>
        <w:rPr>
          <w:rFonts w:ascii="Times New Roman" w:hAnsi="Times New Roman" w:cs="Times New Roman"/>
          <w:sz w:val="20"/>
          <w:szCs w:val="28"/>
        </w:rPr>
      </w:r>
    </w:p>
    <w:p>
      <w:pPr>
        <w:pStyle w:val="774"/>
        <w:ind w:firstLine="4962"/>
        <w:jc w:val="center"/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0"/>
          <w:szCs w:val="28"/>
          <w:highlight w:val="white"/>
        </w:rPr>
        <w:t xml:space="preserve">(последнее - при наличии) заявителя)</w:t>
      </w:r>
      <w:r>
        <w:rPr>
          <w:rFonts w:ascii="Times New Roman" w:hAnsi="Times New Roman" w:cs="Times New Roman"/>
          <w:sz w:val="20"/>
          <w:szCs w:val="28"/>
        </w:rPr>
      </w:r>
      <w:r>
        <w:rPr>
          <w:rFonts w:ascii="Times New Roman" w:hAnsi="Times New Roman" w:cs="Times New Roman"/>
          <w:sz w:val="20"/>
          <w:szCs w:val="28"/>
        </w:rPr>
      </w:r>
    </w:p>
    <w:p>
      <w:pPr>
        <w:pStyle w:val="774"/>
        <w:ind w:firstLine="496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адр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ес: 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496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496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рес электронной почты: 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496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Уведомление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 отказе в исправлении опечаток и (или) ошибок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выданном в результате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предоставления муниципальной услуги документе.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Сообщаю, что Ваше заявление от 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 №____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____, поступившее в управление по природопользованию и экологии администрации города Нижневартовска, рассмотрено.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результатам рассмотрения заявления и документов Вам отказано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                  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исправлении опечаток и (или) ошибок по следующим основаниям: 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____________________________________________________________________.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52"/>
        <w:gridCol w:w="288"/>
        <w:gridCol w:w="2547"/>
        <w:gridCol w:w="284"/>
        <w:gridCol w:w="2835"/>
      </w:tblGrid>
      <w:tr>
        <w:tblPrEx/>
        <w:trPr/>
        <w:tc>
          <w:tcPr>
            <w:tcBorders>
              <w:bottom w:val="single" w:color="000000" w:sz="4" w:space="0"/>
            </w:tcBorders>
            <w:tcW w:w="3652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547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652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(должность лица, принявшего решение)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2547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77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ind w:left="4111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Государственная регистрация заявлений о проведении общественной экологической экспертизы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природопользованию и экологии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Нижневартовска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(инициалы, фамилия начальника управления)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ind w:left="4820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(наименование заявителя полностью)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выдаче дубликата доку</w:t>
      </w:r>
      <w:r>
        <w:rPr>
          <w:rFonts w:ascii="Times New Roman" w:hAnsi="Times New Roman" w:cs="Times New Roman"/>
          <w:sz w:val="28"/>
          <w:szCs w:val="28"/>
        </w:rPr>
        <w:t xml:space="preserve">мента,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выданного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Прошу выдать дубликат документа, выданного в результате предоставления муниципальной услуги "Государственная регистрация заявлений о проведении общественной экологической экспертизы"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(реквизит</w:t>
      </w:r>
      <w:r>
        <w:rPr>
          <w:rFonts w:ascii="Times New Roman" w:hAnsi="Times New Roman" w:cs="Times New Roman"/>
          <w:sz w:val="20"/>
          <w:highlight w:val="white"/>
        </w:rPr>
        <w:t xml:space="preserve">ы документа, заявленного</w:t>
      </w:r>
      <w:r>
        <w:rPr>
          <w:rFonts w:ascii="Times New Roman" w:hAnsi="Times New Roman" w:cs="Times New Roman"/>
          <w:sz w:val="20"/>
        </w:rPr>
        <w:t xml:space="preserve"> к выдаче дубликата)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774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shd w:val="clear" w:color="ffffff" w:fill="ffff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Способ выдачи дубликата: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</w:t>
      </w:r>
      <w:r>
        <w:rPr>
          <w:rFonts w:ascii="Times New Roman" w:hAnsi="Times New Roman" w:cs="Times New Roman"/>
          <w:sz w:val="28"/>
          <w:szCs w:val="28"/>
        </w:rPr>
        <w:t xml:space="preserve"> в управлении по природопользованию и экологии администрации города Нижневартовска при личном обращении;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□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почтового отправления.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52"/>
        <w:gridCol w:w="288"/>
        <w:gridCol w:w="2547"/>
        <w:gridCol w:w="284"/>
        <w:gridCol w:w="2976"/>
      </w:tblGrid>
      <w:tr>
        <w:tblPrEx/>
        <w:trPr/>
        <w:tc>
          <w:tcPr>
            <w:tcBorders>
              <w:bottom w:val="single" w:color="000000" w:sz="4" w:space="0"/>
            </w:tcBorders>
            <w:tcW w:w="3652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547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774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652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(заявитель, представитель)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8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2547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774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77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4"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</w:rPr>
        <w:t xml:space="preserve">(дата)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first" r:id="rId11"/>
      <w:footnotePr/>
      <w:endnotePr/>
      <w:type w:val="nextPage"/>
      <w:pgSz w:w="11905" w:h="16838" w:orient="portrait"/>
      <w:pgMar w:top="1134" w:right="567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nonymous Pro">
    <w:panose1 w:val="02000603000000000000"/>
  </w:font>
  <w:font w:name="Cambria Math">
    <w:panose1 w:val="02000603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Courier New">
    <w:panose1 w:val="020703090202050204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4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 xml:space="preserve">PAGE   \* MERGEFORMAT</w:instrText>
    </w:r>
    <w:r>
      <w:rPr>
        <w:rFonts w:ascii="Times New Roman" w:hAnsi="Times New Roman" w:eastAsia="Times New Roman" w:cs="Times New Roman"/>
        <w:sz w:val="24"/>
      </w:rPr>
      <w:fldChar w:fldCharType="separate"/>
    </w:r>
    <w:r>
      <w:rPr>
        <w:rFonts w:ascii="Times New Roman" w:hAnsi="Times New Roman" w:eastAsia="Times New Roman" w:cs="Times New Roman"/>
        <w:sz w:val="24"/>
      </w:rPr>
      <w:t xml:space="preserve">21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cs="Times New Roman"/>
        <w:sz w:val="24"/>
      </w:rPr>
    </w:r>
    <w:r>
      <w:rPr>
        <w:rFonts w:ascii="Times New Roman" w:hAnsi="Times New Roman" w:cs="Times New Roman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4"/>
      <w:jc w:val="center"/>
      <w:rPr>
        <w:rFonts w:ascii="Times New Roman" w:hAnsi="Times New Roman" w:cs="Times New Roman"/>
        <w:sz w:val="24"/>
        <w:szCs w:val="22"/>
      </w:rPr>
    </w:pPr>
    <w:r>
      <w:rPr>
        <w:rFonts w:ascii="Times New Roman" w:hAnsi="Times New Roman" w:eastAsia="Times New Roman" w:cs="Times New Roman"/>
        <w:sz w:val="24"/>
        <w:szCs w:val="22"/>
      </w:rPr>
      <w:t xml:space="preserve">16</w:t>
    </w:r>
    <w:r>
      <w:rPr>
        <w:rFonts w:ascii="Times New Roman" w:hAnsi="Times New Roman" w:cs="Times New Roman"/>
        <w:sz w:val="24"/>
        <w:szCs w:val="22"/>
      </w:rPr>
    </w:r>
    <w:r>
      <w:rPr>
        <w:rFonts w:ascii="Times New Roman" w:hAnsi="Times New Roman" w:cs="Times New Roman"/>
        <w:sz w:val="24"/>
        <w:szCs w:val="22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4"/>
      <w:jc w:val="center"/>
      <w:rPr>
        <w:rFonts w:ascii="Times New Roman" w:hAnsi="Times New Roman" w:cs="Times New Roman"/>
        <w:sz w:val="24"/>
        <w:szCs w:val="22"/>
      </w:rPr>
    </w:pPr>
    <w:r>
      <w:rPr>
        <w:rFonts w:ascii="Times New Roman" w:hAnsi="Times New Roman" w:eastAsia="Times New Roman" w:cs="Times New Roman"/>
        <w:sz w:val="24"/>
        <w:szCs w:val="22"/>
      </w:rPr>
      <w:t xml:space="preserve">17</w:t>
    </w:r>
    <w:r>
      <w:rPr>
        <w:rFonts w:ascii="Times New Roman" w:hAnsi="Times New Roman" w:cs="Times New Roman"/>
        <w:sz w:val="24"/>
        <w:szCs w:val="22"/>
      </w:rPr>
    </w:r>
    <w:r>
      <w:rPr>
        <w:rFonts w:ascii="Times New Roman" w:hAnsi="Times New Roman" w:cs="Times New Roman"/>
        <w:sz w:val="24"/>
        <w:szCs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49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9" w:hanging="3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0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Tahoma" w:cs="Tahoma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>
    <w:name w:val="Heading 1"/>
    <w:basedOn w:val="774"/>
    <w:next w:val="774"/>
    <w:link w:val="79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20">
    <w:name w:val="Heading 2"/>
    <w:basedOn w:val="774"/>
    <w:next w:val="774"/>
    <w:link w:val="79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21">
    <w:name w:val="Heading 3"/>
    <w:basedOn w:val="774"/>
    <w:next w:val="774"/>
    <w:link w:val="79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22">
    <w:name w:val="Heading 4"/>
    <w:basedOn w:val="774"/>
    <w:next w:val="774"/>
    <w:link w:val="79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3">
    <w:name w:val="Heading 5"/>
    <w:basedOn w:val="774"/>
    <w:next w:val="774"/>
    <w:link w:val="79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4">
    <w:name w:val="Heading 6"/>
    <w:basedOn w:val="774"/>
    <w:next w:val="774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5">
    <w:name w:val="Heading 7"/>
    <w:basedOn w:val="774"/>
    <w:next w:val="774"/>
    <w:link w:val="78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6">
    <w:name w:val="Heading 8"/>
    <w:basedOn w:val="774"/>
    <w:next w:val="774"/>
    <w:link w:val="78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27">
    <w:name w:val="Heading 9"/>
    <w:basedOn w:val="774"/>
    <w:next w:val="774"/>
    <w:link w:val="79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8">
    <w:name w:val="List Paragraph"/>
    <w:basedOn w:val="774"/>
    <w:uiPriority w:val="34"/>
    <w:qFormat/>
    <w:pPr>
      <w:contextualSpacing/>
      <w:ind w:left="720"/>
    </w:pPr>
  </w:style>
  <w:style w:type="paragraph" w:styleId="729">
    <w:name w:val="No Spacing"/>
    <w:uiPriority w:val="1"/>
    <w:qFormat/>
    <w:pPr>
      <w:spacing w:before="0" w:after="0" w:line="240" w:lineRule="auto"/>
    </w:pPr>
  </w:style>
  <w:style w:type="paragraph" w:styleId="730">
    <w:name w:val="Title"/>
    <w:basedOn w:val="774"/>
    <w:next w:val="774"/>
    <w:link w:val="80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1">
    <w:name w:val="Subtitle"/>
    <w:basedOn w:val="774"/>
    <w:next w:val="774"/>
    <w:link w:val="809"/>
    <w:uiPriority w:val="11"/>
    <w:qFormat/>
    <w:pPr>
      <w:spacing w:before="200" w:after="200"/>
    </w:pPr>
    <w:rPr>
      <w:sz w:val="24"/>
      <w:szCs w:val="24"/>
    </w:rPr>
  </w:style>
  <w:style w:type="paragraph" w:styleId="732">
    <w:name w:val="Quote"/>
    <w:basedOn w:val="774"/>
    <w:next w:val="774"/>
    <w:link w:val="791"/>
    <w:uiPriority w:val="29"/>
    <w:qFormat/>
    <w:pPr>
      <w:ind w:left="720" w:right="720"/>
    </w:pPr>
    <w:rPr>
      <w:i/>
    </w:rPr>
  </w:style>
  <w:style w:type="paragraph" w:styleId="733">
    <w:name w:val="Intense Quote"/>
    <w:basedOn w:val="774"/>
    <w:next w:val="774"/>
    <w:link w:val="7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34">
    <w:name w:val="Header"/>
    <w:basedOn w:val="774"/>
    <w:link w:val="8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35">
    <w:name w:val="Footer"/>
    <w:basedOn w:val="774"/>
    <w:link w:val="8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36">
    <w:name w:val="Caption"/>
    <w:basedOn w:val="774"/>
    <w:next w:val="774"/>
    <w:link w:val="7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>
    <w:name w:val="Caption Char"/>
    <w:link w:val="736"/>
    <w:uiPriority w:val="35"/>
    <w:rPr>
      <w:b/>
      <w:bCs/>
      <w:color w:val="4f81bd" w:themeColor="accent1"/>
      <w:sz w:val="18"/>
      <w:szCs w:val="18"/>
    </w:rPr>
  </w:style>
  <w:style w:type="table" w:styleId="73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5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758">
    <w:name w:val="Hyperlink"/>
    <w:uiPriority w:val="99"/>
    <w:unhideWhenUsed/>
    <w:rPr>
      <w:color w:val="0000ff" w:themeColor="hyperlink"/>
      <w:u w:val="single"/>
    </w:rPr>
  </w:style>
  <w:style w:type="paragraph" w:styleId="759">
    <w:name w:val="footnote text"/>
    <w:basedOn w:val="774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60">
    <w:name w:val="footnote reference"/>
    <w:uiPriority w:val="99"/>
    <w:unhideWhenUsed/>
    <w:rPr>
      <w:vertAlign w:val="superscript"/>
    </w:rPr>
  </w:style>
  <w:style w:type="paragraph" w:styleId="761">
    <w:name w:val="endnote text"/>
    <w:basedOn w:val="774"/>
    <w:link w:val="794"/>
    <w:uiPriority w:val="99"/>
    <w:semiHidden/>
    <w:unhideWhenUsed/>
    <w:pPr>
      <w:spacing w:after="0" w:line="240" w:lineRule="auto"/>
    </w:pPr>
    <w:rPr>
      <w:sz w:val="20"/>
    </w:rPr>
  </w:style>
  <w:style w:type="character" w:styleId="762">
    <w:name w:val="endnote reference"/>
    <w:uiPriority w:val="99"/>
    <w:semiHidden/>
    <w:unhideWhenUsed/>
    <w:rPr>
      <w:vertAlign w:val="superscript"/>
    </w:rPr>
  </w:style>
  <w:style w:type="paragraph" w:styleId="763">
    <w:name w:val="toc 1"/>
    <w:basedOn w:val="774"/>
    <w:next w:val="774"/>
    <w:uiPriority w:val="39"/>
    <w:unhideWhenUsed/>
    <w:pPr>
      <w:ind w:left="0" w:right="0" w:firstLine="0"/>
      <w:spacing w:after="57"/>
    </w:pPr>
  </w:style>
  <w:style w:type="paragraph" w:styleId="764">
    <w:name w:val="toc 2"/>
    <w:basedOn w:val="774"/>
    <w:next w:val="774"/>
    <w:uiPriority w:val="39"/>
    <w:unhideWhenUsed/>
    <w:pPr>
      <w:ind w:left="283" w:right="0" w:firstLine="0"/>
      <w:spacing w:after="57"/>
    </w:pPr>
  </w:style>
  <w:style w:type="paragraph" w:styleId="765">
    <w:name w:val="toc 3"/>
    <w:basedOn w:val="774"/>
    <w:next w:val="774"/>
    <w:uiPriority w:val="39"/>
    <w:unhideWhenUsed/>
    <w:pPr>
      <w:ind w:left="567" w:right="0" w:firstLine="0"/>
      <w:spacing w:after="57"/>
    </w:pPr>
  </w:style>
  <w:style w:type="paragraph" w:styleId="766">
    <w:name w:val="toc 4"/>
    <w:basedOn w:val="774"/>
    <w:next w:val="774"/>
    <w:uiPriority w:val="39"/>
    <w:unhideWhenUsed/>
    <w:pPr>
      <w:ind w:left="850" w:right="0" w:firstLine="0"/>
      <w:spacing w:after="57"/>
    </w:pPr>
  </w:style>
  <w:style w:type="paragraph" w:styleId="767">
    <w:name w:val="toc 5"/>
    <w:basedOn w:val="774"/>
    <w:next w:val="774"/>
    <w:uiPriority w:val="39"/>
    <w:unhideWhenUsed/>
    <w:pPr>
      <w:ind w:left="1134" w:right="0" w:firstLine="0"/>
      <w:spacing w:after="57"/>
    </w:pPr>
  </w:style>
  <w:style w:type="paragraph" w:styleId="768">
    <w:name w:val="toc 6"/>
    <w:basedOn w:val="774"/>
    <w:next w:val="774"/>
    <w:uiPriority w:val="39"/>
    <w:unhideWhenUsed/>
    <w:pPr>
      <w:ind w:left="1417" w:right="0" w:firstLine="0"/>
      <w:spacing w:after="57"/>
    </w:pPr>
  </w:style>
  <w:style w:type="paragraph" w:styleId="769">
    <w:name w:val="toc 7"/>
    <w:basedOn w:val="774"/>
    <w:next w:val="774"/>
    <w:uiPriority w:val="39"/>
    <w:unhideWhenUsed/>
    <w:pPr>
      <w:ind w:left="1701" w:right="0" w:firstLine="0"/>
      <w:spacing w:after="57"/>
    </w:pPr>
  </w:style>
  <w:style w:type="paragraph" w:styleId="770">
    <w:name w:val="toc 8"/>
    <w:basedOn w:val="774"/>
    <w:next w:val="774"/>
    <w:uiPriority w:val="39"/>
    <w:unhideWhenUsed/>
    <w:pPr>
      <w:ind w:left="1984" w:right="0" w:firstLine="0"/>
      <w:spacing w:after="57"/>
    </w:pPr>
  </w:style>
  <w:style w:type="paragraph" w:styleId="771">
    <w:name w:val="toc 9"/>
    <w:basedOn w:val="774"/>
    <w:next w:val="774"/>
    <w:uiPriority w:val="39"/>
    <w:unhideWhenUsed/>
    <w:pPr>
      <w:ind w:left="2268" w:right="0" w:firstLine="0"/>
      <w:spacing w:after="57"/>
    </w:pPr>
  </w:style>
  <w:style w:type="paragraph" w:styleId="772">
    <w:name w:val="TOC Heading"/>
    <w:uiPriority w:val="39"/>
    <w:unhideWhenUsed/>
  </w:style>
  <w:style w:type="paragraph" w:styleId="773">
    <w:name w:val="table of figures"/>
    <w:basedOn w:val="774"/>
    <w:next w:val="774"/>
    <w:uiPriority w:val="99"/>
    <w:unhideWhenUsed/>
    <w:pPr>
      <w:spacing w:after="0" w:afterAutospacing="0"/>
    </w:pPr>
  </w:style>
  <w:style w:type="paragraph" w:styleId="774" w:default="1">
    <w:name w:val="Normal"/>
    <w:next w:val="774"/>
    <w:link w:val="774"/>
    <w:qFormat/>
    <w:pPr>
      <w:spacing w:after="200" w:line="276" w:lineRule="auto"/>
    </w:pPr>
    <w:rPr>
      <w:color w:val="000000"/>
      <w:sz w:val="22"/>
      <w:lang w:val="ru-RU" w:eastAsia="ru-RU" w:bidi="ar-SA"/>
    </w:rPr>
  </w:style>
  <w:style w:type="paragraph" w:styleId="775">
    <w:name w:val="Заголовок 1"/>
    <w:basedOn w:val="774"/>
    <w:next w:val="774"/>
    <w:link w:val="983"/>
    <w:uiPriority w:val="9"/>
    <w:qFormat/>
    <w:pPr>
      <w:jc w:val="both"/>
      <w:spacing w:before="120" w:after="120"/>
      <w:outlineLvl w:val="0"/>
    </w:pPr>
    <w:rPr>
      <w:rFonts w:ascii="Arial" w:hAnsi="Arial"/>
      <w:b/>
      <w:sz w:val="32"/>
    </w:rPr>
  </w:style>
  <w:style w:type="paragraph" w:styleId="776">
    <w:name w:val="Заголовок 2"/>
    <w:basedOn w:val="774"/>
    <w:next w:val="774"/>
    <w:link w:val="998"/>
    <w:uiPriority w:val="9"/>
    <w:qFormat/>
    <w:pPr>
      <w:jc w:val="both"/>
      <w:spacing w:before="120" w:after="120"/>
      <w:outlineLvl w:val="1"/>
    </w:pPr>
    <w:rPr>
      <w:rFonts w:ascii="Arial" w:hAnsi="Arial"/>
      <w:b/>
      <w:sz w:val="28"/>
    </w:rPr>
  </w:style>
  <w:style w:type="paragraph" w:styleId="777">
    <w:name w:val="Заголовок 3"/>
    <w:basedOn w:val="774"/>
    <w:next w:val="774"/>
    <w:link w:val="973"/>
    <w:uiPriority w:val="9"/>
    <w:qFormat/>
    <w:pPr>
      <w:jc w:val="both"/>
      <w:spacing w:before="120" w:after="120"/>
      <w:outlineLvl w:val="2"/>
    </w:pPr>
    <w:rPr>
      <w:rFonts w:ascii="Arial" w:hAnsi="Arial"/>
      <w:b/>
      <w:sz w:val="26"/>
    </w:rPr>
  </w:style>
  <w:style w:type="paragraph" w:styleId="778">
    <w:name w:val="Заголовок 4"/>
    <w:basedOn w:val="774"/>
    <w:next w:val="774"/>
    <w:link w:val="996"/>
    <w:uiPriority w:val="9"/>
    <w:qFormat/>
    <w:pPr>
      <w:jc w:val="both"/>
      <w:spacing w:before="120" w:after="120"/>
      <w:outlineLvl w:val="3"/>
    </w:pPr>
    <w:rPr>
      <w:rFonts w:ascii="Arial" w:hAnsi="Arial"/>
      <w:b/>
      <w:sz w:val="24"/>
    </w:rPr>
  </w:style>
  <w:style w:type="paragraph" w:styleId="779">
    <w:name w:val="Заголовок 5"/>
    <w:basedOn w:val="774"/>
    <w:next w:val="774"/>
    <w:link w:val="982"/>
    <w:uiPriority w:val="9"/>
    <w:qFormat/>
    <w:pPr>
      <w:jc w:val="both"/>
      <w:spacing w:before="120" w:after="120"/>
      <w:outlineLvl w:val="4"/>
    </w:pPr>
    <w:rPr>
      <w:rFonts w:ascii="Arial" w:hAnsi="Arial"/>
      <w:b/>
    </w:rPr>
  </w:style>
  <w:style w:type="paragraph" w:styleId="780">
    <w:name w:val="Заголовок 6"/>
    <w:basedOn w:val="774"/>
    <w:next w:val="774"/>
    <w:link w:val="80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Cs w:val="22"/>
    </w:rPr>
  </w:style>
  <w:style w:type="paragraph" w:styleId="781">
    <w:name w:val="Заголовок 7"/>
    <w:basedOn w:val="774"/>
    <w:next w:val="774"/>
    <w:link w:val="80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Cs w:val="22"/>
    </w:rPr>
  </w:style>
  <w:style w:type="paragraph" w:styleId="782">
    <w:name w:val="Заголовок 8"/>
    <w:basedOn w:val="774"/>
    <w:next w:val="774"/>
    <w:link w:val="80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Cs w:val="22"/>
    </w:rPr>
  </w:style>
  <w:style w:type="paragraph" w:styleId="783">
    <w:name w:val="Заголовок 9"/>
    <w:basedOn w:val="774"/>
    <w:next w:val="774"/>
    <w:link w:val="80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4">
    <w:name w:val="Основной шрифт абзаца"/>
    <w:next w:val="784"/>
    <w:link w:val="774"/>
    <w:uiPriority w:val="1"/>
    <w:semiHidden/>
    <w:unhideWhenUsed/>
  </w:style>
  <w:style w:type="table" w:styleId="785">
    <w:name w:val="Обычная таблица"/>
    <w:next w:val="785"/>
    <w:link w:val="774"/>
    <w:uiPriority w:val="99"/>
    <w:semiHidden/>
    <w:unhideWhenUsed/>
    <w:tblPr/>
  </w:style>
  <w:style w:type="numbering" w:styleId="786">
    <w:name w:val="Нет списка"/>
    <w:next w:val="786"/>
    <w:link w:val="774"/>
    <w:uiPriority w:val="99"/>
    <w:semiHidden/>
    <w:unhideWhenUsed/>
  </w:style>
  <w:style w:type="character" w:styleId="787">
    <w:name w:val="Heading 6 Char"/>
    <w:next w:val="787"/>
    <w:link w:val="774"/>
    <w:uiPriority w:val="9"/>
    <w:rPr>
      <w:rFonts w:ascii="Arial" w:hAnsi="Arial" w:eastAsia="Arial" w:cs="Arial"/>
      <w:b/>
      <w:bCs/>
      <w:sz w:val="22"/>
      <w:szCs w:val="22"/>
    </w:rPr>
  </w:style>
  <w:style w:type="character" w:styleId="788">
    <w:name w:val="Heading 7 Char"/>
    <w:next w:val="788"/>
    <w:link w:val="7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8 Char"/>
    <w:next w:val="789"/>
    <w:link w:val="774"/>
    <w:uiPriority w:val="9"/>
    <w:rPr>
      <w:rFonts w:ascii="Arial" w:hAnsi="Arial" w:eastAsia="Arial" w:cs="Arial"/>
      <w:i/>
      <w:iCs/>
      <w:sz w:val="22"/>
      <w:szCs w:val="22"/>
    </w:rPr>
  </w:style>
  <w:style w:type="character" w:styleId="790">
    <w:name w:val="Heading 9 Char"/>
    <w:next w:val="790"/>
    <w:link w:val="774"/>
    <w:uiPriority w:val="9"/>
    <w:rPr>
      <w:rFonts w:ascii="Arial" w:hAnsi="Arial" w:eastAsia="Arial" w:cs="Arial"/>
      <w:i/>
      <w:iCs/>
      <w:sz w:val="21"/>
      <w:szCs w:val="21"/>
    </w:rPr>
  </w:style>
  <w:style w:type="character" w:styleId="791">
    <w:name w:val="Quote Char"/>
    <w:next w:val="791"/>
    <w:link w:val="774"/>
    <w:uiPriority w:val="29"/>
    <w:rPr>
      <w:i/>
    </w:rPr>
  </w:style>
  <w:style w:type="character" w:styleId="792">
    <w:name w:val="Intense Quote Char"/>
    <w:next w:val="792"/>
    <w:link w:val="774"/>
    <w:uiPriority w:val="30"/>
    <w:rPr>
      <w:i/>
    </w:rPr>
  </w:style>
  <w:style w:type="character" w:styleId="793">
    <w:name w:val="Footnote Text Char"/>
    <w:next w:val="793"/>
    <w:link w:val="774"/>
    <w:uiPriority w:val="99"/>
    <w:rPr>
      <w:sz w:val="18"/>
    </w:rPr>
  </w:style>
  <w:style w:type="character" w:styleId="794">
    <w:name w:val="Endnote Text Char"/>
    <w:next w:val="794"/>
    <w:link w:val="774"/>
    <w:uiPriority w:val="99"/>
    <w:rPr>
      <w:sz w:val="20"/>
    </w:rPr>
  </w:style>
  <w:style w:type="character" w:styleId="795">
    <w:name w:val="Heading 1 Char"/>
    <w:next w:val="795"/>
    <w:link w:val="774"/>
    <w:uiPriority w:val="9"/>
    <w:rPr>
      <w:rFonts w:ascii="Arial" w:hAnsi="Arial" w:eastAsia="Arial" w:cs="Arial"/>
      <w:sz w:val="40"/>
      <w:szCs w:val="40"/>
    </w:rPr>
  </w:style>
  <w:style w:type="character" w:styleId="796">
    <w:name w:val="Heading 2 Char"/>
    <w:next w:val="796"/>
    <w:link w:val="774"/>
    <w:uiPriority w:val="9"/>
    <w:rPr>
      <w:rFonts w:ascii="Arial" w:hAnsi="Arial" w:eastAsia="Arial" w:cs="Arial"/>
      <w:sz w:val="34"/>
    </w:rPr>
  </w:style>
  <w:style w:type="character" w:styleId="797">
    <w:name w:val="Heading 3 Char"/>
    <w:next w:val="797"/>
    <w:link w:val="774"/>
    <w:uiPriority w:val="9"/>
    <w:rPr>
      <w:rFonts w:ascii="Arial" w:hAnsi="Arial" w:eastAsia="Arial" w:cs="Arial"/>
      <w:sz w:val="30"/>
      <w:szCs w:val="30"/>
    </w:rPr>
  </w:style>
  <w:style w:type="character" w:styleId="798">
    <w:name w:val="Heading 4 Char"/>
    <w:next w:val="798"/>
    <w:link w:val="774"/>
    <w:uiPriority w:val="9"/>
    <w:rPr>
      <w:rFonts w:ascii="Arial" w:hAnsi="Arial" w:eastAsia="Arial" w:cs="Arial"/>
      <w:b/>
      <w:bCs/>
      <w:sz w:val="26"/>
      <w:szCs w:val="26"/>
    </w:rPr>
  </w:style>
  <w:style w:type="character" w:styleId="799">
    <w:name w:val="Heading 5 Char"/>
    <w:next w:val="799"/>
    <w:link w:val="774"/>
    <w:uiPriority w:val="9"/>
    <w:rPr>
      <w:rFonts w:ascii="Arial" w:hAnsi="Arial" w:eastAsia="Arial" w:cs="Arial"/>
      <w:b/>
      <w:bCs/>
      <w:sz w:val="24"/>
      <w:szCs w:val="24"/>
    </w:rPr>
  </w:style>
  <w:style w:type="character" w:styleId="800">
    <w:name w:val="Заголовок 6 Знак"/>
    <w:next w:val="800"/>
    <w:link w:val="780"/>
    <w:uiPriority w:val="9"/>
    <w:rPr>
      <w:rFonts w:ascii="Arial" w:hAnsi="Arial" w:eastAsia="Arial" w:cs="Arial"/>
      <w:b/>
      <w:bCs/>
      <w:sz w:val="22"/>
      <w:szCs w:val="22"/>
    </w:rPr>
  </w:style>
  <w:style w:type="character" w:styleId="801">
    <w:name w:val="Заголовок 7 Знак"/>
    <w:next w:val="801"/>
    <w:link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2">
    <w:name w:val="Заголовок 8 Знак"/>
    <w:next w:val="802"/>
    <w:link w:val="782"/>
    <w:uiPriority w:val="9"/>
    <w:rPr>
      <w:rFonts w:ascii="Arial" w:hAnsi="Arial" w:eastAsia="Arial" w:cs="Arial"/>
      <w:i/>
      <w:iCs/>
      <w:sz w:val="22"/>
      <w:szCs w:val="22"/>
    </w:rPr>
  </w:style>
  <w:style w:type="character" w:styleId="803">
    <w:name w:val="Заголовок 9 Знак"/>
    <w:next w:val="803"/>
    <w:link w:val="783"/>
    <w:uiPriority w:val="9"/>
    <w:rPr>
      <w:rFonts w:ascii="Arial" w:hAnsi="Arial" w:eastAsia="Arial" w:cs="Arial"/>
      <w:i/>
      <w:iCs/>
      <w:sz w:val="21"/>
      <w:szCs w:val="21"/>
    </w:rPr>
  </w:style>
  <w:style w:type="paragraph" w:styleId="804">
    <w:name w:val="Абзац списка"/>
    <w:basedOn w:val="774"/>
    <w:next w:val="804"/>
    <w:link w:val="972"/>
    <w:pPr>
      <w:contextualSpacing/>
      <w:ind w:left="720"/>
    </w:pPr>
  </w:style>
  <w:style w:type="paragraph" w:styleId="805">
    <w:name w:val="Без интервала"/>
    <w:next w:val="805"/>
    <w:link w:val="997"/>
    <w:rPr>
      <w:color w:val="000000"/>
      <w:sz w:val="22"/>
      <w:lang w:val="ru-RU" w:eastAsia="ru-RU" w:bidi="ar-SA"/>
    </w:rPr>
  </w:style>
  <w:style w:type="paragraph" w:styleId="806">
    <w:name w:val="Заголовок"/>
    <w:basedOn w:val="774"/>
    <w:next w:val="774"/>
    <w:link w:val="995"/>
    <w:uiPriority w:val="10"/>
    <w:qFormat/>
    <w:pPr>
      <w:jc w:val="center"/>
      <w:spacing w:before="567" w:after="567"/>
    </w:pPr>
    <w:rPr>
      <w:rFonts w:ascii="Arial" w:hAnsi="Arial"/>
      <w:b/>
      <w:caps/>
      <w:sz w:val="40"/>
    </w:rPr>
  </w:style>
  <w:style w:type="character" w:styleId="807">
    <w:name w:val="Title Char"/>
    <w:next w:val="807"/>
    <w:link w:val="774"/>
    <w:uiPriority w:val="10"/>
    <w:rPr>
      <w:sz w:val="48"/>
      <w:szCs w:val="48"/>
    </w:rPr>
  </w:style>
  <w:style w:type="paragraph" w:styleId="808">
    <w:name w:val="Подзаголовок"/>
    <w:basedOn w:val="774"/>
    <w:next w:val="774"/>
    <w:link w:val="993"/>
    <w:uiPriority w:val="11"/>
    <w:qFormat/>
    <w:pPr>
      <w:jc w:val="both"/>
    </w:pPr>
    <w:rPr>
      <w:rFonts w:ascii="Arial" w:hAnsi="Arial"/>
      <w:i/>
      <w:sz w:val="24"/>
    </w:rPr>
  </w:style>
  <w:style w:type="character" w:styleId="809">
    <w:name w:val="Subtitle Char"/>
    <w:next w:val="809"/>
    <w:link w:val="774"/>
    <w:uiPriority w:val="11"/>
    <w:rPr>
      <w:sz w:val="24"/>
      <w:szCs w:val="24"/>
    </w:rPr>
  </w:style>
  <w:style w:type="paragraph" w:styleId="810">
    <w:name w:val="Цитата 2"/>
    <w:basedOn w:val="774"/>
    <w:next w:val="774"/>
    <w:link w:val="811"/>
    <w:uiPriority w:val="29"/>
    <w:qFormat/>
    <w:pPr>
      <w:ind w:left="720" w:right="720"/>
    </w:pPr>
    <w:rPr>
      <w:i/>
    </w:rPr>
  </w:style>
  <w:style w:type="character" w:styleId="811">
    <w:name w:val="Цитата 2 Знак"/>
    <w:next w:val="811"/>
    <w:link w:val="810"/>
    <w:uiPriority w:val="29"/>
    <w:rPr>
      <w:i/>
    </w:rPr>
  </w:style>
  <w:style w:type="paragraph" w:styleId="812">
    <w:name w:val="Выделенная цитата"/>
    <w:basedOn w:val="774"/>
    <w:next w:val="774"/>
    <w:link w:val="81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3">
    <w:name w:val="Выделенная цитата Знак"/>
    <w:next w:val="813"/>
    <w:link w:val="812"/>
    <w:uiPriority w:val="30"/>
    <w:rPr>
      <w:i/>
    </w:rPr>
  </w:style>
  <w:style w:type="paragraph" w:styleId="814">
    <w:name w:val="Верхний колонтитул"/>
    <w:basedOn w:val="774"/>
    <w:next w:val="814"/>
    <w:link w:val="975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15">
    <w:name w:val="Header Char"/>
    <w:next w:val="815"/>
    <w:link w:val="774"/>
    <w:uiPriority w:val="99"/>
  </w:style>
  <w:style w:type="paragraph" w:styleId="816">
    <w:name w:val="Нижний колонтитул"/>
    <w:basedOn w:val="774"/>
    <w:next w:val="816"/>
    <w:link w:val="984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17">
    <w:name w:val="Footer Char"/>
    <w:next w:val="817"/>
    <w:link w:val="774"/>
    <w:uiPriority w:val="99"/>
  </w:style>
  <w:style w:type="paragraph" w:styleId="818">
    <w:name w:val="Название объекта"/>
    <w:basedOn w:val="774"/>
    <w:next w:val="774"/>
    <w:link w:val="819"/>
    <w:uiPriority w:val="35"/>
    <w:semiHidden/>
    <w:unhideWhenUsed/>
    <w:qFormat/>
    <w:rPr>
      <w:b/>
      <w:bCs/>
      <w:color w:val="4f81bd"/>
      <w:sz w:val="18"/>
      <w:szCs w:val="18"/>
    </w:rPr>
  </w:style>
  <w:style w:type="character" w:styleId="819">
    <w:name w:val="Название объекта Знак"/>
    <w:next w:val="819"/>
    <w:link w:val="818"/>
    <w:uiPriority w:val="99"/>
  </w:style>
  <w:style w:type="table" w:styleId="820">
    <w:name w:val="Сетка таблицы"/>
    <w:basedOn w:val="785"/>
    <w:next w:val="820"/>
    <w:link w:val="774"/>
    <w:tblPr/>
  </w:style>
  <w:style w:type="table" w:styleId="821">
    <w:name w:val="Table Grid Light"/>
    <w:next w:val="821"/>
    <w:link w:val="774"/>
    <w:uiPriority w:val="59"/>
    <w:rPr>
      <w:lang w:val="ru-RU" w:eastAsia="zh-CN" w:bidi="ar-SA"/>
    </w:rPr>
    <w:tblPr/>
  </w:style>
  <w:style w:type="table" w:styleId="822">
    <w:name w:val="Таблица простая 1"/>
    <w:next w:val="822"/>
    <w:link w:val="774"/>
    <w:uiPriority w:val="59"/>
    <w:rPr>
      <w:lang w:val="ru-RU" w:eastAsia="zh-CN" w:bidi="ar-SA"/>
    </w:rPr>
    <w:tblPr/>
  </w:style>
  <w:style w:type="table" w:styleId="823">
    <w:name w:val="Таблица простая 2"/>
    <w:next w:val="823"/>
    <w:link w:val="774"/>
    <w:uiPriority w:val="59"/>
    <w:rPr>
      <w:lang w:val="ru-RU" w:eastAsia="zh-CN" w:bidi="ar-SA"/>
    </w:rPr>
    <w:tblPr/>
  </w:style>
  <w:style w:type="table" w:styleId="824">
    <w:name w:val="Таблица простая 3"/>
    <w:next w:val="824"/>
    <w:link w:val="774"/>
    <w:uiPriority w:val="99"/>
    <w:rPr>
      <w:lang w:val="ru-RU" w:eastAsia="zh-CN" w:bidi="ar-SA"/>
    </w:rPr>
    <w:tblPr/>
  </w:style>
  <w:style w:type="table" w:styleId="825">
    <w:name w:val="Таблица простая 4"/>
    <w:next w:val="825"/>
    <w:link w:val="774"/>
    <w:uiPriority w:val="99"/>
    <w:rPr>
      <w:lang w:val="ru-RU" w:eastAsia="zh-CN" w:bidi="ar-SA"/>
    </w:rPr>
    <w:tblPr/>
  </w:style>
  <w:style w:type="table" w:styleId="826">
    <w:name w:val="Таблица простая 5"/>
    <w:next w:val="826"/>
    <w:link w:val="774"/>
    <w:uiPriority w:val="99"/>
    <w:rPr>
      <w:lang w:val="ru-RU" w:eastAsia="zh-CN" w:bidi="ar-SA"/>
    </w:rPr>
    <w:tblPr/>
  </w:style>
  <w:style w:type="table" w:styleId="827">
    <w:name w:val="Таблица-сетка 1 светлая"/>
    <w:next w:val="827"/>
    <w:link w:val="774"/>
    <w:uiPriority w:val="99"/>
    <w:rPr>
      <w:lang w:val="ru-RU" w:eastAsia="zh-CN" w:bidi="ar-SA"/>
    </w:rPr>
    <w:tblPr/>
  </w:style>
  <w:style w:type="table" w:styleId="828">
    <w:name w:val="Grid Table 1 Light - Accent 1"/>
    <w:next w:val="828"/>
    <w:link w:val="774"/>
    <w:uiPriority w:val="99"/>
    <w:rPr>
      <w:lang w:val="ru-RU" w:eastAsia="zh-CN" w:bidi="ar-SA"/>
    </w:rPr>
    <w:tblPr/>
  </w:style>
  <w:style w:type="table" w:styleId="829">
    <w:name w:val="Grid Table 1 Light - Accent 2"/>
    <w:next w:val="829"/>
    <w:link w:val="774"/>
    <w:uiPriority w:val="99"/>
    <w:rPr>
      <w:lang w:val="ru-RU" w:eastAsia="zh-CN" w:bidi="ar-SA"/>
    </w:rPr>
    <w:tblPr/>
  </w:style>
  <w:style w:type="table" w:styleId="830">
    <w:name w:val="Grid Table 1 Light - Accent 3"/>
    <w:next w:val="830"/>
    <w:link w:val="774"/>
    <w:uiPriority w:val="99"/>
    <w:rPr>
      <w:lang w:val="ru-RU" w:eastAsia="zh-CN" w:bidi="ar-SA"/>
    </w:rPr>
    <w:tblPr/>
  </w:style>
  <w:style w:type="table" w:styleId="831">
    <w:name w:val="Grid Table 1 Light - Accent 4"/>
    <w:next w:val="831"/>
    <w:link w:val="774"/>
    <w:uiPriority w:val="99"/>
    <w:rPr>
      <w:lang w:val="ru-RU" w:eastAsia="zh-CN" w:bidi="ar-SA"/>
    </w:rPr>
    <w:tblPr/>
  </w:style>
  <w:style w:type="table" w:styleId="832">
    <w:name w:val="Grid Table 1 Light - Accent 5"/>
    <w:next w:val="832"/>
    <w:link w:val="774"/>
    <w:uiPriority w:val="99"/>
    <w:rPr>
      <w:lang w:val="ru-RU" w:eastAsia="zh-CN" w:bidi="ar-SA"/>
    </w:rPr>
    <w:tblPr/>
  </w:style>
  <w:style w:type="table" w:styleId="833">
    <w:name w:val="Grid Table 1 Light - Accent 6"/>
    <w:next w:val="833"/>
    <w:link w:val="774"/>
    <w:uiPriority w:val="99"/>
    <w:rPr>
      <w:lang w:val="ru-RU" w:eastAsia="zh-CN" w:bidi="ar-SA"/>
    </w:rPr>
    <w:tblPr/>
  </w:style>
  <w:style w:type="table" w:styleId="834">
    <w:name w:val="Таблица-сетка 2"/>
    <w:next w:val="834"/>
    <w:link w:val="774"/>
    <w:uiPriority w:val="99"/>
    <w:rPr>
      <w:lang w:val="ru-RU" w:eastAsia="zh-CN" w:bidi="ar-SA"/>
    </w:rPr>
    <w:tblPr/>
  </w:style>
  <w:style w:type="table" w:styleId="835">
    <w:name w:val="Grid Table 2 - Accent 1"/>
    <w:next w:val="835"/>
    <w:link w:val="774"/>
    <w:uiPriority w:val="99"/>
    <w:rPr>
      <w:lang w:val="ru-RU" w:eastAsia="zh-CN" w:bidi="ar-SA"/>
    </w:rPr>
    <w:tblPr/>
  </w:style>
  <w:style w:type="table" w:styleId="836">
    <w:name w:val="Grid Table 2 - Accent 2"/>
    <w:next w:val="836"/>
    <w:link w:val="774"/>
    <w:uiPriority w:val="99"/>
    <w:rPr>
      <w:lang w:val="ru-RU" w:eastAsia="zh-CN" w:bidi="ar-SA"/>
    </w:rPr>
    <w:tblPr/>
  </w:style>
  <w:style w:type="table" w:styleId="837">
    <w:name w:val="Grid Table 2 - Accent 3"/>
    <w:next w:val="837"/>
    <w:link w:val="774"/>
    <w:uiPriority w:val="99"/>
    <w:rPr>
      <w:lang w:val="ru-RU" w:eastAsia="zh-CN" w:bidi="ar-SA"/>
    </w:rPr>
    <w:tblPr/>
  </w:style>
  <w:style w:type="table" w:styleId="838">
    <w:name w:val="Grid Table 2 - Accent 4"/>
    <w:next w:val="838"/>
    <w:link w:val="774"/>
    <w:uiPriority w:val="99"/>
    <w:rPr>
      <w:lang w:val="ru-RU" w:eastAsia="zh-CN" w:bidi="ar-SA"/>
    </w:rPr>
    <w:tblPr/>
  </w:style>
  <w:style w:type="table" w:styleId="839">
    <w:name w:val="Grid Table 2 - Accent 5"/>
    <w:next w:val="839"/>
    <w:link w:val="774"/>
    <w:uiPriority w:val="99"/>
    <w:rPr>
      <w:lang w:val="ru-RU" w:eastAsia="zh-CN" w:bidi="ar-SA"/>
    </w:rPr>
    <w:tblPr/>
  </w:style>
  <w:style w:type="table" w:styleId="840">
    <w:name w:val="Grid Table 2 - Accent 6"/>
    <w:next w:val="840"/>
    <w:link w:val="774"/>
    <w:uiPriority w:val="99"/>
    <w:rPr>
      <w:lang w:val="ru-RU" w:eastAsia="zh-CN" w:bidi="ar-SA"/>
    </w:rPr>
    <w:tblPr/>
  </w:style>
  <w:style w:type="table" w:styleId="841">
    <w:name w:val="Таблица-сетка 3"/>
    <w:next w:val="841"/>
    <w:link w:val="774"/>
    <w:uiPriority w:val="99"/>
    <w:rPr>
      <w:lang w:val="ru-RU" w:eastAsia="zh-CN" w:bidi="ar-SA"/>
    </w:rPr>
    <w:tblPr/>
  </w:style>
  <w:style w:type="table" w:styleId="842">
    <w:name w:val="Grid Table 3 - Accent 1"/>
    <w:next w:val="842"/>
    <w:link w:val="774"/>
    <w:uiPriority w:val="99"/>
    <w:rPr>
      <w:lang w:val="ru-RU" w:eastAsia="zh-CN" w:bidi="ar-SA"/>
    </w:rPr>
    <w:tblPr/>
  </w:style>
  <w:style w:type="table" w:styleId="843">
    <w:name w:val="Grid Table 3 - Accent 2"/>
    <w:next w:val="843"/>
    <w:link w:val="774"/>
    <w:uiPriority w:val="99"/>
    <w:rPr>
      <w:lang w:val="ru-RU" w:eastAsia="zh-CN" w:bidi="ar-SA"/>
    </w:rPr>
    <w:tblPr/>
  </w:style>
  <w:style w:type="table" w:styleId="844">
    <w:name w:val="Grid Table 3 - Accent 3"/>
    <w:next w:val="844"/>
    <w:link w:val="774"/>
    <w:uiPriority w:val="99"/>
    <w:rPr>
      <w:lang w:val="ru-RU" w:eastAsia="zh-CN" w:bidi="ar-SA"/>
    </w:rPr>
    <w:tblPr/>
  </w:style>
  <w:style w:type="table" w:styleId="845">
    <w:name w:val="Grid Table 3 - Accent 4"/>
    <w:next w:val="845"/>
    <w:link w:val="774"/>
    <w:uiPriority w:val="99"/>
    <w:rPr>
      <w:lang w:val="ru-RU" w:eastAsia="zh-CN" w:bidi="ar-SA"/>
    </w:rPr>
    <w:tblPr/>
  </w:style>
  <w:style w:type="table" w:styleId="846">
    <w:name w:val="Grid Table 3 - Accent 5"/>
    <w:next w:val="846"/>
    <w:link w:val="774"/>
    <w:uiPriority w:val="99"/>
    <w:rPr>
      <w:lang w:val="ru-RU" w:eastAsia="zh-CN" w:bidi="ar-SA"/>
    </w:rPr>
    <w:tblPr/>
  </w:style>
  <w:style w:type="table" w:styleId="847">
    <w:name w:val="Grid Table 3 - Accent 6"/>
    <w:next w:val="847"/>
    <w:link w:val="774"/>
    <w:uiPriority w:val="99"/>
    <w:rPr>
      <w:lang w:val="ru-RU" w:eastAsia="zh-CN" w:bidi="ar-SA"/>
    </w:rPr>
    <w:tblPr/>
  </w:style>
  <w:style w:type="table" w:styleId="848">
    <w:name w:val="Таблица-сетка 4"/>
    <w:next w:val="848"/>
    <w:link w:val="774"/>
    <w:uiPriority w:val="59"/>
    <w:rPr>
      <w:lang w:val="ru-RU" w:eastAsia="zh-CN" w:bidi="ar-SA"/>
    </w:rPr>
    <w:tblPr/>
  </w:style>
  <w:style w:type="table" w:styleId="849">
    <w:name w:val="Grid Table 4 - Accent 1"/>
    <w:next w:val="849"/>
    <w:link w:val="774"/>
    <w:uiPriority w:val="59"/>
    <w:rPr>
      <w:lang w:val="ru-RU" w:eastAsia="zh-CN" w:bidi="ar-SA"/>
    </w:rPr>
    <w:tblPr/>
  </w:style>
  <w:style w:type="table" w:styleId="850">
    <w:name w:val="Grid Table 4 - Accent 2"/>
    <w:next w:val="850"/>
    <w:link w:val="774"/>
    <w:uiPriority w:val="59"/>
    <w:rPr>
      <w:lang w:val="ru-RU" w:eastAsia="zh-CN" w:bidi="ar-SA"/>
    </w:rPr>
    <w:tblPr/>
  </w:style>
  <w:style w:type="table" w:styleId="851">
    <w:name w:val="Grid Table 4 - Accent 3"/>
    <w:next w:val="851"/>
    <w:link w:val="774"/>
    <w:uiPriority w:val="59"/>
    <w:rPr>
      <w:lang w:val="ru-RU" w:eastAsia="zh-CN" w:bidi="ar-SA"/>
    </w:rPr>
    <w:tblPr/>
  </w:style>
  <w:style w:type="table" w:styleId="852">
    <w:name w:val="Grid Table 4 - Accent 4"/>
    <w:next w:val="852"/>
    <w:link w:val="774"/>
    <w:uiPriority w:val="59"/>
    <w:rPr>
      <w:lang w:val="ru-RU" w:eastAsia="zh-CN" w:bidi="ar-SA"/>
    </w:rPr>
    <w:tblPr/>
  </w:style>
  <w:style w:type="table" w:styleId="853">
    <w:name w:val="Grid Table 4 - Accent 5"/>
    <w:next w:val="853"/>
    <w:link w:val="774"/>
    <w:uiPriority w:val="59"/>
    <w:rPr>
      <w:lang w:val="ru-RU" w:eastAsia="zh-CN" w:bidi="ar-SA"/>
    </w:rPr>
    <w:tblPr/>
  </w:style>
  <w:style w:type="table" w:styleId="854">
    <w:name w:val="Grid Table 4 - Accent 6"/>
    <w:next w:val="854"/>
    <w:link w:val="774"/>
    <w:uiPriority w:val="59"/>
    <w:rPr>
      <w:lang w:val="ru-RU" w:eastAsia="zh-CN" w:bidi="ar-SA"/>
    </w:rPr>
    <w:tblPr/>
  </w:style>
  <w:style w:type="table" w:styleId="855">
    <w:name w:val="Таблица-сетка 5 темная"/>
    <w:next w:val="855"/>
    <w:link w:val="774"/>
    <w:uiPriority w:val="99"/>
    <w:rPr>
      <w:lang w:val="ru-RU" w:eastAsia="zh-CN" w:bidi="ar-SA"/>
    </w:rPr>
    <w:tblPr/>
  </w:style>
  <w:style w:type="table" w:styleId="856">
    <w:name w:val="Grid Table 5 Dark- Accent 1"/>
    <w:next w:val="856"/>
    <w:link w:val="774"/>
    <w:uiPriority w:val="99"/>
    <w:rPr>
      <w:lang w:val="ru-RU" w:eastAsia="zh-CN" w:bidi="ar-SA"/>
    </w:rPr>
    <w:tblPr/>
  </w:style>
  <w:style w:type="table" w:styleId="857">
    <w:name w:val="Grid Table 5 Dark - Accent 2"/>
    <w:next w:val="857"/>
    <w:link w:val="774"/>
    <w:uiPriority w:val="99"/>
    <w:rPr>
      <w:lang w:val="ru-RU" w:eastAsia="zh-CN" w:bidi="ar-SA"/>
    </w:rPr>
    <w:tblPr/>
  </w:style>
  <w:style w:type="table" w:styleId="858">
    <w:name w:val="Grid Table 5 Dark - Accent 3"/>
    <w:next w:val="858"/>
    <w:link w:val="774"/>
    <w:uiPriority w:val="99"/>
    <w:rPr>
      <w:lang w:val="ru-RU" w:eastAsia="zh-CN" w:bidi="ar-SA"/>
    </w:rPr>
    <w:tblPr/>
  </w:style>
  <w:style w:type="table" w:styleId="859">
    <w:name w:val="Grid Table 5 Dark- Accent 4"/>
    <w:next w:val="859"/>
    <w:link w:val="774"/>
    <w:uiPriority w:val="99"/>
    <w:rPr>
      <w:lang w:val="ru-RU" w:eastAsia="zh-CN" w:bidi="ar-SA"/>
    </w:rPr>
    <w:tblPr/>
  </w:style>
  <w:style w:type="table" w:styleId="860">
    <w:name w:val="Grid Table 5 Dark - Accent 5"/>
    <w:next w:val="860"/>
    <w:link w:val="774"/>
    <w:uiPriority w:val="99"/>
    <w:rPr>
      <w:lang w:val="ru-RU" w:eastAsia="zh-CN" w:bidi="ar-SA"/>
    </w:rPr>
    <w:tblPr/>
  </w:style>
  <w:style w:type="table" w:styleId="861">
    <w:name w:val="Grid Table 5 Dark - Accent 6"/>
    <w:next w:val="861"/>
    <w:link w:val="774"/>
    <w:uiPriority w:val="99"/>
    <w:rPr>
      <w:lang w:val="ru-RU" w:eastAsia="zh-CN" w:bidi="ar-SA"/>
    </w:rPr>
    <w:tblPr/>
  </w:style>
  <w:style w:type="table" w:styleId="862">
    <w:name w:val="Таблица-сетка 6 цветная"/>
    <w:next w:val="862"/>
    <w:link w:val="774"/>
    <w:uiPriority w:val="99"/>
    <w:rPr>
      <w:lang w:val="ru-RU" w:eastAsia="zh-CN" w:bidi="ar-SA"/>
    </w:rPr>
    <w:tblPr/>
  </w:style>
  <w:style w:type="table" w:styleId="863">
    <w:name w:val="Grid Table 6 Colorful - Accent 1"/>
    <w:next w:val="863"/>
    <w:link w:val="774"/>
    <w:uiPriority w:val="99"/>
    <w:rPr>
      <w:lang w:val="ru-RU" w:eastAsia="zh-CN" w:bidi="ar-SA"/>
    </w:rPr>
    <w:tblPr/>
  </w:style>
  <w:style w:type="table" w:styleId="864">
    <w:name w:val="Grid Table 6 Colorful - Accent 2"/>
    <w:next w:val="864"/>
    <w:link w:val="774"/>
    <w:uiPriority w:val="99"/>
    <w:rPr>
      <w:lang w:val="ru-RU" w:eastAsia="zh-CN" w:bidi="ar-SA"/>
    </w:rPr>
    <w:tblPr/>
  </w:style>
  <w:style w:type="table" w:styleId="865">
    <w:name w:val="Grid Table 6 Colorful - Accent 3"/>
    <w:next w:val="865"/>
    <w:link w:val="774"/>
    <w:uiPriority w:val="99"/>
    <w:rPr>
      <w:lang w:val="ru-RU" w:eastAsia="zh-CN" w:bidi="ar-SA"/>
    </w:rPr>
    <w:tblPr/>
  </w:style>
  <w:style w:type="table" w:styleId="866">
    <w:name w:val="Grid Table 6 Colorful - Accent 4"/>
    <w:next w:val="866"/>
    <w:link w:val="774"/>
    <w:uiPriority w:val="99"/>
    <w:rPr>
      <w:lang w:val="ru-RU" w:eastAsia="zh-CN" w:bidi="ar-SA"/>
    </w:rPr>
    <w:tblPr/>
  </w:style>
  <w:style w:type="table" w:styleId="867">
    <w:name w:val="Grid Table 6 Colorful - Accent 5"/>
    <w:next w:val="867"/>
    <w:link w:val="774"/>
    <w:uiPriority w:val="99"/>
    <w:rPr>
      <w:lang w:val="ru-RU" w:eastAsia="zh-CN" w:bidi="ar-SA"/>
    </w:rPr>
    <w:tblPr/>
  </w:style>
  <w:style w:type="table" w:styleId="868">
    <w:name w:val="Grid Table 6 Colorful - Accent 6"/>
    <w:next w:val="868"/>
    <w:link w:val="774"/>
    <w:uiPriority w:val="99"/>
    <w:rPr>
      <w:lang w:val="ru-RU" w:eastAsia="zh-CN" w:bidi="ar-SA"/>
    </w:rPr>
    <w:tblPr/>
  </w:style>
  <w:style w:type="table" w:styleId="869">
    <w:name w:val="Таблица-сетка 7 цветная"/>
    <w:next w:val="869"/>
    <w:link w:val="774"/>
    <w:uiPriority w:val="99"/>
    <w:rPr>
      <w:lang w:val="ru-RU" w:eastAsia="zh-CN" w:bidi="ar-SA"/>
    </w:rPr>
    <w:tblPr/>
  </w:style>
  <w:style w:type="table" w:styleId="870">
    <w:name w:val="Grid Table 7 Colorful - Accent 1"/>
    <w:next w:val="870"/>
    <w:link w:val="774"/>
    <w:uiPriority w:val="99"/>
    <w:rPr>
      <w:lang w:val="ru-RU" w:eastAsia="zh-CN" w:bidi="ar-SA"/>
    </w:rPr>
    <w:tblPr/>
  </w:style>
  <w:style w:type="table" w:styleId="871">
    <w:name w:val="Grid Table 7 Colorful - Accent 2"/>
    <w:next w:val="871"/>
    <w:link w:val="774"/>
    <w:uiPriority w:val="99"/>
    <w:rPr>
      <w:lang w:val="ru-RU" w:eastAsia="zh-CN" w:bidi="ar-SA"/>
    </w:rPr>
    <w:tblPr/>
  </w:style>
  <w:style w:type="table" w:styleId="872">
    <w:name w:val="Grid Table 7 Colorful - Accent 3"/>
    <w:next w:val="872"/>
    <w:link w:val="774"/>
    <w:uiPriority w:val="99"/>
    <w:rPr>
      <w:lang w:val="ru-RU" w:eastAsia="zh-CN" w:bidi="ar-SA"/>
    </w:rPr>
    <w:tblPr/>
  </w:style>
  <w:style w:type="table" w:styleId="873">
    <w:name w:val="Grid Table 7 Colorful - Accent 4"/>
    <w:next w:val="873"/>
    <w:link w:val="774"/>
    <w:uiPriority w:val="99"/>
    <w:rPr>
      <w:lang w:val="ru-RU" w:eastAsia="zh-CN" w:bidi="ar-SA"/>
    </w:rPr>
    <w:tblPr/>
  </w:style>
  <w:style w:type="table" w:styleId="874">
    <w:name w:val="Grid Table 7 Colorful - Accent 5"/>
    <w:next w:val="874"/>
    <w:link w:val="774"/>
    <w:uiPriority w:val="99"/>
    <w:rPr>
      <w:lang w:val="ru-RU" w:eastAsia="zh-CN" w:bidi="ar-SA"/>
    </w:rPr>
    <w:tblPr/>
  </w:style>
  <w:style w:type="table" w:styleId="875">
    <w:name w:val="Grid Table 7 Colorful - Accent 6"/>
    <w:next w:val="875"/>
    <w:link w:val="774"/>
    <w:uiPriority w:val="99"/>
    <w:rPr>
      <w:lang w:val="ru-RU" w:eastAsia="zh-CN" w:bidi="ar-SA"/>
    </w:rPr>
    <w:tblPr/>
  </w:style>
  <w:style w:type="table" w:styleId="876">
    <w:name w:val="Список-таблица 1 светлая"/>
    <w:next w:val="876"/>
    <w:link w:val="774"/>
    <w:uiPriority w:val="99"/>
    <w:rPr>
      <w:lang w:val="ru-RU" w:eastAsia="zh-CN" w:bidi="ar-SA"/>
    </w:rPr>
    <w:tblPr/>
  </w:style>
  <w:style w:type="table" w:styleId="877">
    <w:name w:val="List Table 1 Light - Accent 1"/>
    <w:next w:val="877"/>
    <w:link w:val="774"/>
    <w:uiPriority w:val="99"/>
    <w:rPr>
      <w:lang w:val="ru-RU" w:eastAsia="zh-CN" w:bidi="ar-SA"/>
    </w:rPr>
    <w:tblPr/>
  </w:style>
  <w:style w:type="table" w:styleId="878">
    <w:name w:val="List Table 1 Light - Accent 2"/>
    <w:next w:val="878"/>
    <w:link w:val="774"/>
    <w:uiPriority w:val="99"/>
    <w:rPr>
      <w:lang w:val="ru-RU" w:eastAsia="zh-CN" w:bidi="ar-SA"/>
    </w:rPr>
    <w:tblPr/>
  </w:style>
  <w:style w:type="table" w:styleId="879">
    <w:name w:val="List Table 1 Light - Accent 3"/>
    <w:next w:val="879"/>
    <w:link w:val="774"/>
    <w:uiPriority w:val="99"/>
    <w:rPr>
      <w:lang w:val="ru-RU" w:eastAsia="zh-CN" w:bidi="ar-SA"/>
    </w:rPr>
    <w:tblPr/>
  </w:style>
  <w:style w:type="table" w:styleId="880">
    <w:name w:val="List Table 1 Light - Accent 4"/>
    <w:next w:val="880"/>
    <w:link w:val="774"/>
    <w:uiPriority w:val="99"/>
    <w:rPr>
      <w:lang w:val="ru-RU" w:eastAsia="zh-CN" w:bidi="ar-SA"/>
    </w:rPr>
    <w:tblPr/>
  </w:style>
  <w:style w:type="table" w:styleId="881">
    <w:name w:val="List Table 1 Light - Accent 5"/>
    <w:next w:val="881"/>
    <w:link w:val="774"/>
    <w:uiPriority w:val="99"/>
    <w:rPr>
      <w:lang w:val="ru-RU" w:eastAsia="zh-CN" w:bidi="ar-SA"/>
    </w:rPr>
    <w:tblPr/>
  </w:style>
  <w:style w:type="table" w:styleId="882">
    <w:name w:val="List Table 1 Light - Accent 6"/>
    <w:next w:val="882"/>
    <w:link w:val="774"/>
    <w:uiPriority w:val="99"/>
    <w:rPr>
      <w:lang w:val="ru-RU" w:eastAsia="zh-CN" w:bidi="ar-SA"/>
    </w:rPr>
    <w:tblPr/>
  </w:style>
  <w:style w:type="table" w:styleId="883">
    <w:name w:val="Список-таблица 2"/>
    <w:next w:val="883"/>
    <w:link w:val="774"/>
    <w:uiPriority w:val="99"/>
    <w:rPr>
      <w:lang w:val="ru-RU" w:eastAsia="zh-CN" w:bidi="ar-SA"/>
    </w:rPr>
    <w:tblPr/>
  </w:style>
  <w:style w:type="table" w:styleId="884">
    <w:name w:val="List Table 2 - Accent 1"/>
    <w:next w:val="884"/>
    <w:link w:val="774"/>
    <w:uiPriority w:val="99"/>
    <w:rPr>
      <w:lang w:val="ru-RU" w:eastAsia="zh-CN" w:bidi="ar-SA"/>
    </w:rPr>
    <w:tblPr/>
  </w:style>
  <w:style w:type="table" w:styleId="885">
    <w:name w:val="List Table 2 - Accent 2"/>
    <w:next w:val="885"/>
    <w:link w:val="774"/>
    <w:uiPriority w:val="99"/>
    <w:rPr>
      <w:lang w:val="ru-RU" w:eastAsia="zh-CN" w:bidi="ar-SA"/>
    </w:rPr>
    <w:tblPr/>
  </w:style>
  <w:style w:type="table" w:styleId="886">
    <w:name w:val="List Table 2 - Accent 3"/>
    <w:next w:val="886"/>
    <w:link w:val="774"/>
    <w:uiPriority w:val="99"/>
    <w:rPr>
      <w:lang w:val="ru-RU" w:eastAsia="zh-CN" w:bidi="ar-SA"/>
    </w:rPr>
    <w:tblPr/>
  </w:style>
  <w:style w:type="table" w:styleId="887">
    <w:name w:val="List Table 2 - Accent 4"/>
    <w:next w:val="887"/>
    <w:link w:val="774"/>
    <w:uiPriority w:val="99"/>
    <w:rPr>
      <w:lang w:val="ru-RU" w:eastAsia="zh-CN" w:bidi="ar-SA"/>
    </w:rPr>
    <w:tblPr/>
  </w:style>
  <w:style w:type="table" w:styleId="888">
    <w:name w:val="List Table 2 - Accent 5"/>
    <w:next w:val="888"/>
    <w:link w:val="774"/>
    <w:uiPriority w:val="99"/>
    <w:rPr>
      <w:lang w:val="ru-RU" w:eastAsia="zh-CN" w:bidi="ar-SA"/>
    </w:rPr>
    <w:tblPr/>
  </w:style>
  <w:style w:type="table" w:styleId="889">
    <w:name w:val="List Table 2 - Accent 6"/>
    <w:next w:val="889"/>
    <w:link w:val="774"/>
    <w:uiPriority w:val="99"/>
    <w:rPr>
      <w:lang w:val="ru-RU" w:eastAsia="zh-CN" w:bidi="ar-SA"/>
    </w:rPr>
    <w:tblPr/>
  </w:style>
  <w:style w:type="table" w:styleId="890">
    <w:name w:val="Список-таблица 3"/>
    <w:next w:val="890"/>
    <w:link w:val="774"/>
    <w:uiPriority w:val="99"/>
    <w:rPr>
      <w:lang w:val="ru-RU" w:eastAsia="zh-CN" w:bidi="ar-SA"/>
    </w:rPr>
    <w:tblPr/>
  </w:style>
  <w:style w:type="table" w:styleId="891">
    <w:name w:val="List Table 3 - Accent 1"/>
    <w:next w:val="891"/>
    <w:link w:val="774"/>
    <w:uiPriority w:val="99"/>
    <w:rPr>
      <w:lang w:val="ru-RU" w:eastAsia="zh-CN" w:bidi="ar-SA"/>
    </w:rPr>
    <w:tblPr/>
  </w:style>
  <w:style w:type="table" w:styleId="892">
    <w:name w:val="List Table 3 - Accent 2"/>
    <w:next w:val="892"/>
    <w:link w:val="774"/>
    <w:uiPriority w:val="99"/>
    <w:rPr>
      <w:lang w:val="ru-RU" w:eastAsia="zh-CN" w:bidi="ar-SA"/>
    </w:rPr>
    <w:tblPr/>
  </w:style>
  <w:style w:type="table" w:styleId="893">
    <w:name w:val="List Table 3 - Accent 3"/>
    <w:next w:val="893"/>
    <w:link w:val="774"/>
    <w:uiPriority w:val="99"/>
    <w:rPr>
      <w:lang w:val="ru-RU" w:eastAsia="zh-CN" w:bidi="ar-SA"/>
    </w:rPr>
    <w:tblPr/>
  </w:style>
  <w:style w:type="table" w:styleId="894">
    <w:name w:val="List Table 3 - Accent 4"/>
    <w:next w:val="894"/>
    <w:link w:val="774"/>
    <w:uiPriority w:val="99"/>
    <w:rPr>
      <w:lang w:val="ru-RU" w:eastAsia="zh-CN" w:bidi="ar-SA"/>
    </w:rPr>
    <w:tblPr/>
  </w:style>
  <w:style w:type="table" w:styleId="895">
    <w:name w:val="List Table 3 - Accent 5"/>
    <w:next w:val="895"/>
    <w:link w:val="774"/>
    <w:uiPriority w:val="99"/>
    <w:rPr>
      <w:lang w:val="ru-RU" w:eastAsia="zh-CN" w:bidi="ar-SA"/>
    </w:rPr>
    <w:tblPr/>
  </w:style>
  <w:style w:type="table" w:styleId="896">
    <w:name w:val="List Table 3 - Accent 6"/>
    <w:next w:val="896"/>
    <w:link w:val="774"/>
    <w:uiPriority w:val="99"/>
    <w:rPr>
      <w:lang w:val="ru-RU" w:eastAsia="zh-CN" w:bidi="ar-SA"/>
    </w:rPr>
    <w:tblPr/>
  </w:style>
  <w:style w:type="table" w:styleId="897">
    <w:name w:val="Список-таблица 4"/>
    <w:next w:val="897"/>
    <w:link w:val="774"/>
    <w:uiPriority w:val="99"/>
    <w:rPr>
      <w:lang w:val="ru-RU" w:eastAsia="zh-CN" w:bidi="ar-SA"/>
    </w:rPr>
    <w:tblPr/>
  </w:style>
  <w:style w:type="table" w:styleId="898">
    <w:name w:val="List Table 4 - Accent 1"/>
    <w:next w:val="898"/>
    <w:link w:val="774"/>
    <w:uiPriority w:val="99"/>
    <w:rPr>
      <w:lang w:val="ru-RU" w:eastAsia="zh-CN" w:bidi="ar-SA"/>
    </w:rPr>
    <w:tblPr/>
  </w:style>
  <w:style w:type="table" w:styleId="899">
    <w:name w:val="List Table 4 - Accent 2"/>
    <w:next w:val="899"/>
    <w:link w:val="774"/>
    <w:uiPriority w:val="99"/>
    <w:rPr>
      <w:lang w:val="ru-RU" w:eastAsia="zh-CN" w:bidi="ar-SA"/>
    </w:rPr>
    <w:tblPr/>
  </w:style>
  <w:style w:type="table" w:styleId="900">
    <w:name w:val="List Table 4 - Accent 3"/>
    <w:next w:val="900"/>
    <w:link w:val="774"/>
    <w:uiPriority w:val="99"/>
    <w:rPr>
      <w:lang w:val="ru-RU" w:eastAsia="zh-CN" w:bidi="ar-SA"/>
    </w:rPr>
    <w:tblPr/>
  </w:style>
  <w:style w:type="table" w:styleId="901">
    <w:name w:val="List Table 4 - Accent 4"/>
    <w:next w:val="901"/>
    <w:link w:val="774"/>
    <w:uiPriority w:val="99"/>
    <w:rPr>
      <w:lang w:val="ru-RU" w:eastAsia="zh-CN" w:bidi="ar-SA"/>
    </w:rPr>
    <w:tblPr/>
  </w:style>
  <w:style w:type="table" w:styleId="902">
    <w:name w:val="List Table 4 - Accent 5"/>
    <w:next w:val="902"/>
    <w:link w:val="774"/>
    <w:uiPriority w:val="99"/>
    <w:rPr>
      <w:lang w:val="ru-RU" w:eastAsia="zh-CN" w:bidi="ar-SA"/>
    </w:rPr>
    <w:tblPr/>
  </w:style>
  <w:style w:type="table" w:styleId="903">
    <w:name w:val="List Table 4 - Accent 6"/>
    <w:next w:val="903"/>
    <w:link w:val="774"/>
    <w:uiPriority w:val="99"/>
    <w:rPr>
      <w:lang w:val="ru-RU" w:eastAsia="zh-CN" w:bidi="ar-SA"/>
    </w:rPr>
    <w:tblPr/>
  </w:style>
  <w:style w:type="table" w:styleId="904">
    <w:name w:val="Список-таблица 5 темная"/>
    <w:next w:val="904"/>
    <w:link w:val="774"/>
    <w:uiPriority w:val="99"/>
    <w:rPr>
      <w:lang w:val="ru-RU" w:eastAsia="zh-CN" w:bidi="ar-SA"/>
    </w:rPr>
    <w:tblPr/>
  </w:style>
  <w:style w:type="table" w:styleId="905">
    <w:name w:val="List Table 5 Dark - Accent 1"/>
    <w:next w:val="905"/>
    <w:link w:val="774"/>
    <w:uiPriority w:val="99"/>
    <w:rPr>
      <w:lang w:val="ru-RU" w:eastAsia="zh-CN" w:bidi="ar-SA"/>
    </w:rPr>
    <w:tblPr/>
  </w:style>
  <w:style w:type="table" w:styleId="906">
    <w:name w:val="List Table 5 Dark - Accent 2"/>
    <w:next w:val="906"/>
    <w:link w:val="774"/>
    <w:uiPriority w:val="99"/>
    <w:rPr>
      <w:lang w:val="ru-RU" w:eastAsia="zh-CN" w:bidi="ar-SA"/>
    </w:rPr>
    <w:tblPr/>
  </w:style>
  <w:style w:type="table" w:styleId="907">
    <w:name w:val="List Table 5 Dark - Accent 3"/>
    <w:next w:val="907"/>
    <w:link w:val="774"/>
    <w:uiPriority w:val="99"/>
    <w:rPr>
      <w:lang w:val="ru-RU" w:eastAsia="zh-CN" w:bidi="ar-SA"/>
    </w:rPr>
    <w:tblPr/>
  </w:style>
  <w:style w:type="table" w:styleId="908">
    <w:name w:val="List Table 5 Dark - Accent 4"/>
    <w:next w:val="908"/>
    <w:link w:val="774"/>
    <w:uiPriority w:val="99"/>
    <w:rPr>
      <w:lang w:val="ru-RU" w:eastAsia="zh-CN" w:bidi="ar-SA"/>
    </w:rPr>
    <w:tblPr/>
  </w:style>
  <w:style w:type="table" w:styleId="909">
    <w:name w:val="List Table 5 Dark - Accent 5"/>
    <w:next w:val="909"/>
    <w:link w:val="774"/>
    <w:uiPriority w:val="99"/>
    <w:rPr>
      <w:lang w:val="ru-RU" w:eastAsia="zh-CN" w:bidi="ar-SA"/>
    </w:rPr>
    <w:tblPr/>
  </w:style>
  <w:style w:type="table" w:styleId="910">
    <w:name w:val="List Table 5 Dark - Accent 6"/>
    <w:next w:val="910"/>
    <w:link w:val="774"/>
    <w:uiPriority w:val="99"/>
    <w:rPr>
      <w:lang w:val="ru-RU" w:eastAsia="zh-CN" w:bidi="ar-SA"/>
    </w:rPr>
    <w:tblPr/>
  </w:style>
  <w:style w:type="table" w:styleId="911">
    <w:name w:val="Список-таблица 6 цветная"/>
    <w:next w:val="911"/>
    <w:link w:val="774"/>
    <w:uiPriority w:val="99"/>
    <w:rPr>
      <w:lang w:val="ru-RU" w:eastAsia="zh-CN" w:bidi="ar-SA"/>
    </w:rPr>
    <w:tblPr/>
  </w:style>
  <w:style w:type="table" w:styleId="912">
    <w:name w:val="List Table 6 Colorful - Accent 1"/>
    <w:next w:val="912"/>
    <w:link w:val="774"/>
    <w:uiPriority w:val="99"/>
    <w:rPr>
      <w:lang w:val="ru-RU" w:eastAsia="zh-CN" w:bidi="ar-SA"/>
    </w:rPr>
    <w:tblPr/>
  </w:style>
  <w:style w:type="table" w:styleId="913">
    <w:name w:val="List Table 6 Colorful - Accent 2"/>
    <w:next w:val="913"/>
    <w:link w:val="774"/>
    <w:uiPriority w:val="99"/>
    <w:rPr>
      <w:lang w:val="ru-RU" w:eastAsia="zh-CN" w:bidi="ar-SA"/>
    </w:rPr>
    <w:tblPr/>
  </w:style>
  <w:style w:type="table" w:styleId="914">
    <w:name w:val="List Table 6 Colorful - Accent 3"/>
    <w:next w:val="914"/>
    <w:link w:val="774"/>
    <w:uiPriority w:val="99"/>
    <w:rPr>
      <w:lang w:val="ru-RU" w:eastAsia="zh-CN" w:bidi="ar-SA"/>
    </w:rPr>
    <w:tblPr/>
  </w:style>
  <w:style w:type="table" w:styleId="915">
    <w:name w:val="List Table 6 Colorful - Accent 4"/>
    <w:next w:val="915"/>
    <w:link w:val="774"/>
    <w:uiPriority w:val="99"/>
    <w:rPr>
      <w:lang w:val="ru-RU" w:eastAsia="zh-CN" w:bidi="ar-SA"/>
    </w:rPr>
    <w:tblPr/>
  </w:style>
  <w:style w:type="table" w:styleId="916">
    <w:name w:val="List Table 6 Colorful - Accent 5"/>
    <w:next w:val="916"/>
    <w:link w:val="774"/>
    <w:uiPriority w:val="99"/>
    <w:rPr>
      <w:lang w:val="ru-RU" w:eastAsia="zh-CN" w:bidi="ar-SA"/>
    </w:rPr>
    <w:tblPr/>
  </w:style>
  <w:style w:type="table" w:styleId="917">
    <w:name w:val="List Table 6 Colorful - Accent 6"/>
    <w:next w:val="917"/>
    <w:link w:val="774"/>
    <w:uiPriority w:val="99"/>
    <w:rPr>
      <w:lang w:val="ru-RU" w:eastAsia="zh-CN" w:bidi="ar-SA"/>
    </w:rPr>
    <w:tblPr/>
  </w:style>
  <w:style w:type="table" w:styleId="918">
    <w:name w:val="Список-таблица 7 цветная"/>
    <w:next w:val="918"/>
    <w:link w:val="774"/>
    <w:uiPriority w:val="99"/>
    <w:rPr>
      <w:lang w:val="ru-RU" w:eastAsia="zh-CN" w:bidi="ar-SA"/>
    </w:rPr>
    <w:tblPr/>
  </w:style>
  <w:style w:type="table" w:styleId="919">
    <w:name w:val="List Table 7 Colorful - Accent 1"/>
    <w:next w:val="919"/>
    <w:link w:val="774"/>
    <w:uiPriority w:val="99"/>
    <w:rPr>
      <w:lang w:val="ru-RU" w:eastAsia="zh-CN" w:bidi="ar-SA"/>
    </w:rPr>
    <w:tblPr/>
  </w:style>
  <w:style w:type="table" w:styleId="920">
    <w:name w:val="List Table 7 Colorful - Accent 2"/>
    <w:next w:val="920"/>
    <w:link w:val="774"/>
    <w:uiPriority w:val="99"/>
    <w:rPr>
      <w:lang w:val="ru-RU" w:eastAsia="zh-CN" w:bidi="ar-SA"/>
    </w:rPr>
    <w:tblPr/>
  </w:style>
  <w:style w:type="table" w:styleId="921">
    <w:name w:val="List Table 7 Colorful - Accent 3"/>
    <w:next w:val="921"/>
    <w:link w:val="774"/>
    <w:uiPriority w:val="99"/>
    <w:rPr>
      <w:lang w:val="ru-RU" w:eastAsia="zh-CN" w:bidi="ar-SA"/>
    </w:rPr>
    <w:tblPr/>
  </w:style>
  <w:style w:type="table" w:styleId="922">
    <w:name w:val="List Table 7 Colorful - Accent 4"/>
    <w:next w:val="922"/>
    <w:link w:val="774"/>
    <w:uiPriority w:val="99"/>
    <w:rPr>
      <w:lang w:val="ru-RU" w:eastAsia="zh-CN" w:bidi="ar-SA"/>
    </w:rPr>
    <w:tblPr/>
  </w:style>
  <w:style w:type="table" w:styleId="923">
    <w:name w:val="List Table 7 Colorful - Accent 5"/>
    <w:next w:val="923"/>
    <w:link w:val="774"/>
    <w:uiPriority w:val="99"/>
    <w:rPr>
      <w:lang w:val="ru-RU" w:eastAsia="zh-CN" w:bidi="ar-SA"/>
    </w:rPr>
    <w:tblPr/>
  </w:style>
  <w:style w:type="table" w:styleId="924">
    <w:name w:val="List Table 7 Colorful - Accent 6"/>
    <w:next w:val="924"/>
    <w:link w:val="774"/>
    <w:uiPriority w:val="99"/>
    <w:rPr>
      <w:lang w:val="ru-RU" w:eastAsia="zh-CN" w:bidi="ar-SA"/>
    </w:rPr>
    <w:tblPr/>
  </w:style>
  <w:style w:type="table" w:styleId="925">
    <w:name w:val="Lined - Accent"/>
    <w:next w:val="925"/>
    <w:link w:val="774"/>
    <w:uiPriority w:val="99"/>
    <w:rPr>
      <w:color w:val="404040"/>
      <w:lang w:val="ru-RU" w:eastAsia="ru-RU" w:bidi="ar-SA"/>
    </w:rPr>
    <w:tblPr/>
  </w:style>
  <w:style w:type="table" w:styleId="926">
    <w:name w:val="Lined - Accent 1"/>
    <w:next w:val="926"/>
    <w:link w:val="774"/>
    <w:uiPriority w:val="99"/>
    <w:rPr>
      <w:color w:val="404040"/>
      <w:lang w:val="ru-RU" w:eastAsia="ru-RU" w:bidi="ar-SA"/>
    </w:rPr>
    <w:tblPr/>
  </w:style>
  <w:style w:type="table" w:styleId="927">
    <w:name w:val="Lined - Accent 2"/>
    <w:next w:val="927"/>
    <w:link w:val="774"/>
    <w:uiPriority w:val="99"/>
    <w:rPr>
      <w:color w:val="404040"/>
      <w:lang w:val="ru-RU" w:eastAsia="ru-RU" w:bidi="ar-SA"/>
    </w:rPr>
    <w:tblPr/>
  </w:style>
  <w:style w:type="table" w:styleId="928">
    <w:name w:val="Lined - Accent 3"/>
    <w:next w:val="928"/>
    <w:link w:val="774"/>
    <w:uiPriority w:val="99"/>
    <w:rPr>
      <w:color w:val="404040"/>
      <w:lang w:val="ru-RU" w:eastAsia="ru-RU" w:bidi="ar-SA"/>
    </w:rPr>
    <w:tblPr/>
  </w:style>
  <w:style w:type="table" w:styleId="929">
    <w:name w:val="Lined - Accent 4"/>
    <w:next w:val="929"/>
    <w:link w:val="774"/>
    <w:uiPriority w:val="99"/>
    <w:rPr>
      <w:color w:val="404040"/>
      <w:lang w:val="ru-RU" w:eastAsia="ru-RU" w:bidi="ar-SA"/>
    </w:rPr>
    <w:tblPr/>
  </w:style>
  <w:style w:type="table" w:styleId="930">
    <w:name w:val="Lined - Accent 5"/>
    <w:next w:val="930"/>
    <w:link w:val="774"/>
    <w:uiPriority w:val="99"/>
    <w:rPr>
      <w:color w:val="404040"/>
      <w:lang w:val="ru-RU" w:eastAsia="ru-RU" w:bidi="ar-SA"/>
    </w:rPr>
    <w:tblPr/>
  </w:style>
  <w:style w:type="table" w:styleId="931">
    <w:name w:val="Lined - Accent 6"/>
    <w:next w:val="931"/>
    <w:link w:val="774"/>
    <w:uiPriority w:val="99"/>
    <w:rPr>
      <w:color w:val="404040"/>
      <w:lang w:val="ru-RU" w:eastAsia="ru-RU" w:bidi="ar-SA"/>
    </w:rPr>
    <w:tblPr/>
  </w:style>
  <w:style w:type="table" w:styleId="932">
    <w:name w:val="Bordered &amp; Lined - Accent"/>
    <w:next w:val="932"/>
    <w:link w:val="774"/>
    <w:uiPriority w:val="99"/>
    <w:rPr>
      <w:color w:val="404040"/>
      <w:lang w:val="ru-RU" w:eastAsia="ru-RU" w:bidi="ar-SA"/>
    </w:rPr>
    <w:tblPr/>
  </w:style>
  <w:style w:type="table" w:styleId="933">
    <w:name w:val="Bordered &amp; Lined - Accent 1"/>
    <w:next w:val="933"/>
    <w:link w:val="774"/>
    <w:uiPriority w:val="99"/>
    <w:rPr>
      <w:color w:val="404040"/>
      <w:lang w:val="ru-RU" w:eastAsia="ru-RU" w:bidi="ar-SA"/>
    </w:rPr>
    <w:tblPr/>
  </w:style>
  <w:style w:type="table" w:styleId="934">
    <w:name w:val="Bordered &amp; Lined - Accent 2"/>
    <w:next w:val="934"/>
    <w:link w:val="774"/>
    <w:uiPriority w:val="99"/>
    <w:rPr>
      <w:color w:val="404040"/>
      <w:lang w:val="ru-RU" w:eastAsia="ru-RU" w:bidi="ar-SA"/>
    </w:rPr>
    <w:tblPr/>
  </w:style>
  <w:style w:type="table" w:styleId="935">
    <w:name w:val="Bordered &amp; Lined - Accent 3"/>
    <w:next w:val="935"/>
    <w:link w:val="774"/>
    <w:uiPriority w:val="99"/>
    <w:rPr>
      <w:color w:val="404040"/>
      <w:lang w:val="ru-RU" w:eastAsia="ru-RU" w:bidi="ar-SA"/>
    </w:rPr>
    <w:tblPr/>
  </w:style>
  <w:style w:type="table" w:styleId="936">
    <w:name w:val="Bordered &amp; Lined - Accent 4"/>
    <w:next w:val="936"/>
    <w:link w:val="774"/>
    <w:uiPriority w:val="99"/>
    <w:rPr>
      <w:color w:val="404040"/>
      <w:lang w:val="ru-RU" w:eastAsia="ru-RU" w:bidi="ar-SA"/>
    </w:rPr>
    <w:tblPr/>
  </w:style>
  <w:style w:type="table" w:styleId="937">
    <w:name w:val="Bordered &amp; Lined - Accent 5"/>
    <w:next w:val="937"/>
    <w:link w:val="774"/>
    <w:uiPriority w:val="99"/>
    <w:rPr>
      <w:color w:val="404040"/>
      <w:lang w:val="ru-RU" w:eastAsia="ru-RU" w:bidi="ar-SA"/>
    </w:rPr>
    <w:tblPr/>
  </w:style>
  <w:style w:type="table" w:styleId="938">
    <w:name w:val="Bordered &amp; Lined - Accent 6"/>
    <w:next w:val="938"/>
    <w:link w:val="774"/>
    <w:uiPriority w:val="99"/>
    <w:rPr>
      <w:color w:val="404040"/>
      <w:lang w:val="ru-RU" w:eastAsia="ru-RU" w:bidi="ar-SA"/>
    </w:rPr>
    <w:tblPr/>
  </w:style>
  <w:style w:type="table" w:styleId="939">
    <w:name w:val="Bordered"/>
    <w:next w:val="939"/>
    <w:link w:val="774"/>
    <w:uiPriority w:val="99"/>
    <w:rPr>
      <w:lang w:val="ru-RU" w:eastAsia="zh-CN" w:bidi="ar-SA"/>
    </w:rPr>
    <w:tblPr/>
  </w:style>
  <w:style w:type="table" w:styleId="940">
    <w:name w:val="Bordered - Accent 1"/>
    <w:next w:val="940"/>
    <w:link w:val="774"/>
    <w:uiPriority w:val="99"/>
    <w:rPr>
      <w:lang w:val="ru-RU" w:eastAsia="zh-CN" w:bidi="ar-SA"/>
    </w:rPr>
    <w:tblPr/>
  </w:style>
  <w:style w:type="table" w:styleId="941">
    <w:name w:val="Bordered - Accent 2"/>
    <w:next w:val="941"/>
    <w:link w:val="774"/>
    <w:uiPriority w:val="99"/>
    <w:rPr>
      <w:lang w:val="ru-RU" w:eastAsia="zh-CN" w:bidi="ar-SA"/>
    </w:rPr>
    <w:tblPr/>
  </w:style>
  <w:style w:type="table" w:styleId="942">
    <w:name w:val="Bordered - Accent 3"/>
    <w:next w:val="942"/>
    <w:link w:val="774"/>
    <w:uiPriority w:val="99"/>
    <w:rPr>
      <w:lang w:val="ru-RU" w:eastAsia="zh-CN" w:bidi="ar-SA"/>
    </w:rPr>
    <w:tblPr/>
  </w:style>
  <w:style w:type="table" w:styleId="943">
    <w:name w:val="Bordered - Accent 4"/>
    <w:next w:val="943"/>
    <w:link w:val="774"/>
    <w:uiPriority w:val="99"/>
    <w:rPr>
      <w:lang w:val="ru-RU" w:eastAsia="zh-CN" w:bidi="ar-SA"/>
    </w:rPr>
    <w:tblPr/>
  </w:style>
  <w:style w:type="table" w:styleId="944">
    <w:name w:val="Bordered - Accent 5"/>
    <w:next w:val="944"/>
    <w:link w:val="774"/>
    <w:uiPriority w:val="99"/>
    <w:rPr>
      <w:lang w:val="ru-RU" w:eastAsia="zh-CN" w:bidi="ar-SA"/>
    </w:rPr>
    <w:tblPr/>
  </w:style>
  <w:style w:type="table" w:styleId="945">
    <w:name w:val="Bordered - Accent 6"/>
    <w:next w:val="945"/>
    <w:link w:val="774"/>
    <w:uiPriority w:val="99"/>
    <w:rPr>
      <w:lang w:val="ru-RU" w:eastAsia="zh-CN" w:bidi="ar-SA"/>
    </w:rPr>
    <w:tblPr/>
  </w:style>
  <w:style w:type="character" w:styleId="946">
    <w:name w:val="Гиперссылка"/>
    <w:next w:val="946"/>
    <w:link w:val="986"/>
    <w:rPr>
      <w:color w:val="0000ff"/>
      <w:u w:val="single"/>
    </w:rPr>
  </w:style>
  <w:style w:type="paragraph" w:styleId="947">
    <w:name w:val="Текст сноски"/>
    <w:basedOn w:val="774"/>
    <w:next w:val="947"/>
    <w:link w:val="948"/>
    <w:uiPriority w:val="99"/>
    <w:semiHidden/>
    <w:unhideWhenUsed/>
    <w:pPr>
      <w:spacing w:after="40" w:line="240" w:lineRule="auto"/>
    </w:pPr>
    <w:rPr>
      <w:sz w:val="18"/>
    </w:rPr>
  </w:style>
  <w:style w:type="character" w:styleId="948">
    <w:name w:val="Текст сноски Знак"/>
    <w:next w:val="948"/>
    <w:link w:val="947"/>
    <w:uiPriority w:val="99"/>
    <w:rPr>
      <w:sz w:val="18"/>
    </w:rPr>
  </w:style>
  <w:style w:type="character" w:styleId="949">
    <w:name w:val="Знак сноски"/>
    <w:next w:val="949"/>
    <w:link w:val="774"/>
    <w:uiPriority w:val="99"/>
    <w:unhideWhenUsed/>
    <w:rPr>
      <w:vertAlign w:val="superscript"/>
    </w:rPr>
  </w:style>
  <w:style w:type="paragraph" w:styleId="950">
    <w:name w:val="Текст концевой сноски"/>
    <w:basedOn w:val="774"/>
    <w:next w:val="950"/>
    <w:link w:val="951"/>
    <w:uiPriority w:val="99"/>
    <w:semiHidden/>
    <w:unhideWhenUsed/>
    <w:pPr>
      <w:spacing w:after="0" w:line="240" w:lineRule="auto"/>
    </w:pPr>
    <w:rPr>
      <w:sz w:val="20"/>
    </w:rPr>
  </w:style>
  <w:style w:type="character" w:styleId="951">
    <w:name w:val="Текст концевой сноски Знак"/>
    <w:next w:val="951"/>
    <w:link w:val="950"/>
    <w:uiPriority w:val="99"/>
    <w:rPr>
      <w:sz w:val="20"/>
    </w:rPr>
  </w:style>
  <w:style w:type="character" w:styleId="952">
    <w:name w:val="Знак концевой сноски"/>
    <w:next w:val="952"/>
    <w:link w:val="774"/>
    <w:uiPriority w:val="99"/>
    <w:semiHidden/>
    <w:unhideWhenUsed/>
    <w:rPr>
      <w:vertAlign w:val="superscript"/>
    </w:rPr>
  </w:style>
  <w:style w:type="paragraph" w:styleId="953">
    <w:name w:val="Оглавление 1"/>
    <w:basedOn w:val="774"/>
    <w:next w:val="774"/>
    <w:link w:val="988"/>
    <w:uiPriority w:val="39"/>
    <w:rPr>
      <w:rFonts w:ascii="Arial" w:hAnsi="Arial"/>
      <w:b/>
      <w:sz w:val="28"/>
    </w:rPr>
  </w:style>
  <w:style w:type="paragraph" w:styleId="954">
    <w:name w:val="Оглавление 2"/>
    <w:basedOn w:val="774"/>
    <w:next w:val="774"/>
    <w:link w:val="966"/>
    <w:uiPriority w:val="39"/>
    <w:pPr>
      <w:ind w:left="200"/>
    </w:pPr>
    <w:rPr>
      <w:rFonts w:ascii="Arial" w:hAnsi="Arial"/>
      <w:sz w:val="28"/>
    </w:rPr>
  </w:style>
  <w:style w:type="paragraph" w:styleId="955">
    <w:name w:val="Оглавление 3"/>
    <w:basedOn w:val="774"/>
    <w:next w:val="774"/>
    <w:link w:val="977"/>
    <w:uiPriority w:val="39"/>
    <w:pPr>
      <w:ind w:left="400"/>
    </w:pPr>
    <w:rPr>
      <w:rFonts w:ascii="Arial" w:hAnsi="Arial"/>
      <w:sz w:val="28"/>
    </w:rPr>
  </w:style>
  <w:style w:type="paragraph" w:styleId="956">
    <w:name w:val="Оглавление 4"/>
    <w:basedOn w:val="774"/>
    <w:next w:val="774"/>
    <w:link w:val="967"/>
    <w:uiPriority w:val="39"/>
    <w:pPr>
      <w:ind w:left="600"/>
    </w:pPr>
    <w:rPr>
      <w:rFonts w:ascii="Arial" w:hAnsi="Arial"/>
      <w:sz w:val="28"/>
    </w:rPr>
  </w:style>
  <w:style w:type="paragraph" w:styleId="957">
    <w:name w:val="Оглавление 5"/>
    <w:basedOn w:val="774"/>
    <w:next w:val="774"/>
    <w:link w:val="992"/>
    <w:uiPriority w:val="39"/>
    <w:pPr>
      <w:ind w:left="800"/>
    </w:pPr>
    <w:rPr>
      <w:rFonts w:ascii="Arial" w:hAnsi="Arial"/>
      <w:sz w:val="28"/>
    </w:rPr>
  </w:style>
  <w:style w:type="paragraph" w:styleId="958">
    <w:name w:val="Оглавление 6"/>
    <w:basedOn w:val="774"/>
    <w:next w:val="774"/>
    <w:link w:val="969"/>
    <w:uiPriority w:val="39"/>
    <w:pPr>
      <w:ind w:left="1000"/>
    </w:pPr>
    <w:rPr>
      <w:rFonts w:ascii="Arial" w:hAnsi="Arial"/>
      <w:sz w:val="28"/>
    </w:rPr>
  </w:style>
  <w:style w:type="paragraph" w:styleId="959">
    <w:name w:val="Оглавление 7"/>
    <w:basedOn w:val="774"/>
    <w:next w:val="774"/>
    <w:link w:val="970"/>
    <w:uiPriority w:val="39"/>
    <w:pPr>
      <w:ind w:left="1200"/>
    </w:pPr>
    <w:rPr>
      <w:rFonts w:ascii="Arial" w:hAnsi="Arial"/>
      <w:sz w:val="28"/>
    </w:rPr>
  </w:style>
  <w:style w:type="paragraph" w:styleId="960">
    <w:name w:val="Оглавление 8"/>
    <w:basedOn w:val="774"/>
    <w:next w:val="774"/>
    <w:link w:val="991"/>
    <w:uiPriority w:val="39"/>
    <w:pPr>
      <w:ind w:left="1400"/>
    </w:pPr>
    <w:rPr>
      <w:rFonts w:ascii="Arial" w:hAnsi="Arial"/>
      <w:sz w:val="28"/>
    </w:rPr>
  </w:style>
  <w:style w:type="paragraph" w:styleId="961">
    <w:name w:val="Оглавление 9"/>
    <w:basedOn w:val="774"/>
    <w:next w:val="774"/>
    <w:link w:val="990"/>
    <w:uiPriority w:val="39"/>
    <w:pPr>
      <w:ind w:left="1600"/>
    </w:pPr>
    <w:rPr>
      <w:rFonts w:ascii="Arial" w:hAnsi="Arial"/>
      <w:sz w:val="28"/>
    </w:rPr>
  </w:style>
  <w:style w:type="paragraph" w:styleId="962">
    <w:name w:val="Заголовок оглавления"/>
    <w:next w:val="962"/>
    <w:link w:val="774"/>
    <w:uiPriority w:val="39"/>
    <w:unhideWhenUsed/>
    <w:rPr>
      <w:lang w:val="ru-RU" w:eastAsia="zh-CN" w:bidi="ar-SA"/>
    </w:rPr>
  </w:style>
  <w:style w:type="paragraph" w:styleId="963">
    <w:name w:val="Перечень рисунков"/>
    <w:basedOn w:val="774"/>
    <w:next w:val="774"/>
    <w:link w:val="774"/>
    <w:uiPriority w:val="99"/>
    <w:unhideWhenUsed/>
    <w:pPr>
      <w:spacing w:after="0"/>
    </w:pPr>
  </w:style>
  <w:style w:type="character" w:styleId="964">
    <w:name w:val="Обычный1"/>
    <w:next w:val="964"/>
    <w:link w:val="774"/>
    <w:rPr>
      <w:sz w:val="22"/>
    </w:rPr>
  </w:style>
  <w:style w:type="character" w:styleId="965">
    <w:name w:val="ConsPlusTitle"/>
    <w:next w:val="965"/>
    <w:link w:val="965"/>
    <w:rPr>
      <w:b/>
      <w:sz w:val="22"/>
    </w:rPr>
  </w:style>
  <w:style w:type="character" w:styleId="966">
    <w:name w:val="Оглавление 2 Знак"/>
    <w:next w:val="966"/>
    <w:link w:val="954"/>
    <w:rPr>
      <w:rFonts w:ascii="Arial" w:hAnsi="Arial"/>
      <w:sz w:val="28"/>
    </w:rPr>
  </w:style>
  <w:style w:type="character" w:styleId="967">
    <w:name w:val="Оглавление 4 Знак"/>
    <w:next w:val="967"/>
    <w:link w:val="956"/>
    <w:rPr>
      <w:rFonts w:ascii="Arial" w:hAnsi="Arial"/>
      <w:sz w:val="28"/>
    </w:rPr>
  </w:style>
  <w:style w:type="paragraph" w:styleId="968">
    <w:name w:val="Основной шрифт абзаца1"/>
    <w:next w:val="968"/>
    <w:link w:val="774"/>
    <w:rPr>
      <w:color w:val="000000"/>
      <w:lang w:val="ru-RU" w:eastAsia="ru-RU" w:bidi="ar-SA"/>
    </w:rPr>
  </w:style>
  <w:style w:type="character" w:styleId="969">
    <w:name w:val="Оглавление 6 Знак"/>
    <w:next w:val="969"/>
    <w:link w:val="958"/>
    <w:rPr>
      <w:rFonts w:ascii="Arial" w:hAnsi="Arial"/>
      <w:sz w:val="28"/>
    </w:rPr>
  </w:style>
  <w:style w:type="character" w:styleId="970">
    <w:name w:val="Оглавление 7 Знак"/>
    <w:next w:val="970"/>
    <w:link w:val="959"/>
    <w:rPr>
      <w:rFonts w:ascii="Arial" w:hAnsi="Arial"/>
      <w:sz w:val="28"/>
    </w:rPr>
  </w:style>
  <w:style w:type="character" w:styleId="971">
    <w:name w:val="ConsPlusTitlePage"/>
    <w:next w:val="971"/>
    <w:link w:val="971"/>
    <w:rPr>
      <w:rFonts w:ascii="Cambria Math" w:hAnsi="Cambria Math"/>
    </w:rPr>
  </w:style>
  <w:style w:type="character" w:styleId="972">
    <w:name w:val="Абзац списка Знак"/>
    <w:next w:val="972"/>
    <w:link w:val="804"/>
    <w:rPr>
      <w:sz w:val="22"/>
    </w:rPr>
  </w:style>
  <w:style w:type="character" w:styleId="973">
    <w:name w:val="Заголовок 3 Знак"/>
    <w:next w:val="973"/>
    <w:link w:val="777"/>
    <w:rPr>
      <w:rFonts w:ascii="Arial" w:hAnsi="Arial"/>
      <w:b/>
      <w:sz w:val="26"/>
    </w:rPr>
  </w:style>
  <w:style w:type="character" w:styleId="974">
    <w:name w:val="ConsPlusNonformat"/>
    <w:next w:val="974"/>
    <w:link w:val="974"/>
    <w:rPr>
      <w:rFonts w:ascii="Anonymous Pro" w:hAnsi="Anonymous Pro"/>
    </w:rPr>
  </w:style>
  <w:style w:type="character" w:styleId="975">
    <w:name w:val="Верхний колонтитул Знак"/>
    <w:next w:val="975"/>
    <w:link w:val="814"/>
    <w:uiPriority w:val="99"/>
    <w:rPr>
      <w:sz w:val="22"/>
    </w:rPr>
  </w:style>
  <w:style w:type="character" w:styleId="976">
    <w:name w:val="ConsPlusNormal"/>
    <w:next w:val="976"/>
    <w:link w:val="1008"/>
    <w:rPr>
      <w:sz w:val="22"/>
    </w:rPr>
  </w:style>
  <w:style w:type="character" w:styleId="977">
    <w:name w:val="Оглавление 3 Знак"/>
    <w:next w:val="977"/>
    <w:link w:val="955"/>
    <w:rPr>
      <w:rFonts w:ascii="Arial" w:hAnsi="Arial"/>
      <w:sz w:val="28"/>
    </w:rPr>
  </w:style>
  <w:style w:type="paragraph" w:styleId="978">
    <w:name w:val="Текст выноски"/>
    <w:basedOn w:val="774"/>
    <w:next w:val="978"/>
    <w:link w:val="979"/>
    <w:pPr>
      <w:spacing w:after="0" w:line="240" w:lineRule="auto"/>
    </w:pPr>
    <w:rPr>
      <w:rFonts w:ascii="Cambria Math" w:hAnsi="Cambria Math"/>
      <w:sz w:val="16"/>
    </w:rPr>
  </w:style>
  <w:style w:type="character" w:styleId="979">
    <w:name w:val="Текст выноски Знак"/>
    <w:next w:val="979"/>
    <w:link w:val="978"/>
    <w:rPr>
      <w:rFonts w:ascii="Cambria Math" w:hAnsi="Cambria Math"/>
      <w:sz w:val="16"/>
    </w:rPr>
  </w:style>
  <w:style w:type="paragraph" w:styleId="980">
    <w:name w:val="Строгий1"/>
    <w:next w:val="980"/>
    <w:link w:val="981"/>
    <w:rPr>
      <w:b/>
      <w:color w:val="000000"/>
      <w:lang w:val="ru-RU" w:eastAsia="ru-RU" w:bidi="ar-SA"/>
    </w:rPr>
  </w:style>
  <w:style w:type="character" w:styleId="981">
    <w:name w:val="Строгий"/>
    <w:next w:val="981"/>
    <w:link w:val="980"/>
    <w:rPr>
      <w:b/>
    </w:rPr>
  </w:style>
  <w:style w:type="character" w:styleId="982">
    <w:name w:val="Заголовок 5 Знак"/>
    <w:next w:val="982"/>
    <w:link w:val="779"/>
    <w:rPr>
      <w:rFonts w:ascii="Arial" w:hAnsi="Arial"/>
      <w:b/>
      <w:sz w:val="22"/>
    </w:rPr>
  </w:style>
  <w:style w:type="character" w:styleId="983">
    <w:name w:val="Заголовок 1 Знак"/>
    <w:next w:val="983"/>
    <w:link w:val="775"/>
    <w:rPr>
      <w:rFonts w:ascii="Arial" w:hAnsi="Arial"/>
      <w:b/>
      <w:sz w:val="32"/>
    </w:rPr>
  </w:style>
  <w:style w:type="character" w:styleId="984">
    <w:name w:val="Нижний колонтитул Знак"/>
    <w:next w:val="984"/>
    <w:link w:val="816"/>
    <w:rPr>
      <w:sz w:val="22"/>
    </w:rPr>
  </w:style>
  <w:style w:type="character" w:styleId="985">
    <w:name w:val="Нормальный (таблица)"/>
    <w:next w:val="985"/>
    <w:link w:val="985"/>
    <w:rPr>
      <w:rFonts w:ascii="Calibri" w:hAnsi="Calibri"/>
      <w:sz w:val="24"/>
    </w:rPr>
  </w:style>
  <w:style w:type="paragraph" w:styleId="986">
    <w:name w:val="Гиперссылка1"/>
    <w:next w:val="986"/>
    <w:link w:val="946"/>
    <w:rPr>
      <w:color w:val="0000ff"/>
      <w:u w:val="single"/>
      <w:lang w:val="ru-RU" w:eastAsia="ru-RU" w:bidi="ar-SA"/>
    </w:rPr>
  </w:style>
  <w:style w:type="character" w:styleId="987">
    <w:name w:val="Footnote"/>
    <w:next w:val="987"/>
    <w:link w:val="987"/>
    <w:rPr>
      <w:rFonts w:ascii="Arial" w:hAnsi="Arial"/>
      <w:sz w:val="22"/>
    </w:rPr>
  </w:style>
  <w:style w:type="character" w:styleId="988">
    <w:name w:val="Оглавление 1 Знак"/>
    <w:next w:val="988"/>
    <w:link w:val="953"/>
    <w:rPr>
      <w:rFonts w:ascii="Arial" w:hAnsi="Arial"/>
      <w:b/>
      <w:sz w:val="28"/>
    </w:rPr>
  </w:style>
  <w:style w:type="character" w:styleId="989">
    <w:name w:val="Header and Footer"/>
    <w:next w:val="989"/>
    <w:link w:val="989"/>
    <w:rPr>
      <w:rFonts w:ascii="Arial" w:hAnsi="Arial"/>
      <w:sz w:val="20"/>
    </w:rPr>
  </w:style>
  <w:style w:type="character" w:styleId="990">
    <w:name w:val="Оглавление 9 Знак"/>
    <w:next w:val="990"/>
    <w:link w:val="961"/>
    <w:rPr>
      <w:rFonts w:ascii="Arial" w:hAnsi="Arial"/>
      <w:sz w:val="28"/>
    </w:rPr>
  </w:style>
  <w:style w:type="character" w:styleId="991">
    <w:name w:val="Оглавление 8 Знак"/>
    <w:next w:val="991"/>
    <w:link w:val="960"/>
    <w:rPr>
      <w:rFonts w:ascii="Arial" w:hAnsi="Arial"/>
      <w:sz w:val="28"/>
    </w:rPr>
  </w:style>
  <w:style w:type="character" w:styleId="992">
    <w:name w:val="Оглавление 5 Знак"/>
    <w:next w:val="992"/>
    <w:link w:val="957"/>
    <w:rPr>
      <w:rFonts w:ascii="Arial" w:hAnsi="Arial"/>
      <w:sz w:val="28"/>
    </w:rPr>
  </w:style>
  <w:style w:type="character" w:styleId="993">
    <w:name w:val="Подзаголовок Знак"/>
    <w:next w:val="993"/>
    <w:link w:val="808"/>
    <w:rPr>
      <w:rFonts w:ascii="Arial" w:hAnsi="Arial"/>
      <w:i/>
      <w:sz w:val="24"/>
    </w:rPr>
  </w:style>
  <w:style w:type="character" w:styleId="994">
    <w:name w:val="Гипертекстовая ссылка"/>
    <w:next w:val="994"/>
    <w:link w:val="994"/>
    <w:rPr>
      <w:color w:val="106bbe"/>
    </w:rPr>
  </w:style>
  <w:style w:type="character" w:styleId="995">
    <w:name w:val="Заголовок Знак"/>
    <w:next w:val="995"/>
    <w:link w:val="806"/>
    <w:rPr>
      <w:rFonts w:ascii="Arial" w:hAnsi="Arial"/>
      <w:b/>
      <w:caps/>
      <w:sz w:val="40"/>
    </w:rPr>
  </w:style>
  <w:style w:type="character" w:styleId="996">
    <w:name w:val="Заголовок 4 Знак"/>
    <w:next w:val="996"/>
    <w:link w:val="778"/>
    <w:rPr>
      <w:rFonts w:ascii="Arial" w:hAnsi="Arial"/>
      <w:b/>
      <w:sz w:val="24"/>
    </w:rPr>
  </w:style>
  <w:style w:type="character" w:styleId="997">
    <w:name w:val="Без интервала Знак"/>
    <w:next w:val="997"/>
    <w:link w:val="805"/>
    <w:rPr>
      <w:sz w:val="22"/>
    </w:rPr>
  </w:style>
  <w:style w:type="character" w:styleId="998">
    <w:name w:val="Заголовок 2 Знак"/>
    <w:next w:val="998"/>
    <w:link w:val="776"/>
    <w:rPr>
      <w:rFonts w:ascii="Arial" w:hAnsi="Arial"/>
      <w:b/>
      <w:sz w:val="28"/>
    </w:rPr>
  </w:style>
  <w:style w:type="table" w:styleId="999">
    <w:name w:val="Сетка таблицы1"/>
    <w:basedOn w:val="785"/>
    <w:next w:val="999"/>
    <w:link w:val="774"/>
    <w:tblPr/>
  </w:style>
  <w:style w:type="table" w:styleId="1000">
    <w:name w:val="Сетка таблицы2"/>
    <w:basedOn w:val="785"/>
    <w:next w:val="1000"/>
    <w:link w:val="774"/>
    <w:tblPr/>
  </w:style>
  <w:style w:type="paragraph" w:styleId="1001">
    <w:name w:val="GenStyleDefPar"/>
    <w:next w:val="1001"/>
    <w:link w:val="774"/>
    <w:qFormat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en-US"/>
    </w:rPr>
  </w:style>
  <w:style w:type="character" w:styleId="1002">
    <w:name w:val="Знак примечания"/>
    <w:next w:val="1002"/>
    <w:link w:val="774"/>
    <w:uiPriority w:val="99"/>
    <w:semiHidden/>
    <w:unhideWhenUsed/>
    <w:rPr>
      <w:sz w:val="16"/>
      <w:szCs w:val="16"/>
    </w:rPr>
  </w:style>
  <w:style w:type="paragraph" w:styleId="1003">
    <w:name w:val="Текст примечания"/>
    <w:basedOn w:val="774"/>
    <w:next w:val="1003"/>
    <w:link w:val="1004"/>
    <w:uiPriority w:val="99"/>
    <w:semiHidden/>
    <w:unhideWhenUsed/>
    <w:rPr>
      <w:sz w:val="20"/>
    </w:rPr>
  </w:style>
  <w:style w:type="character" w:styleId="1004">
    <w:name w:val="Текст примечания Знак"/>
    <w:next w:val="1004"/>
    <w:link w:val="1003"/>
    <w:uiPriority w:val="99"/>
    <w:semiHidden/>
    <w:rPr>
      <w:color w:val="000000"/>
    </w:rPr>
  </w:style>
  <w:style w:type="paragraph" w:styleId="1005">
    <w:name w:val="Тема примечания"/>
    <w:basedOn w:val="1003"/>
    <w:next w:val="1003"/>
    <w:link w:val="1006"/>
    <w:uiPriority w:val="99"/>
    <w:semiHidden/>
    <w:unhideWhenUsed/>
    <w:rPr>
      <w:b/>
      <w:bCs/>
    </w:rPr>
  </w:style>
  <w:style w:type="character" w:styleId="1006">
    <w:name w:val="Тема примечания Знак"/>
    <w:next w:val="1006"/>
    <w:link w:val="1005"/>
    <w:uiPriority w:val="99"/>
    <w:semiHidden/>
    <w:rPr>
      <w:b/>
      <w:bCs/>
      <w:color w:val="000000"/>
    </w:rPr>
  </w:style>
  <w:style w:type="paragraph" w:styleId="1007">
    <w:name w:val="Обычный (веб)"/>
    <w:basedOn w:val="774"/>
    <w:next w:val="1007"/>
    <w:link w:val="774"/>
    <w:uiPriority w:val="99"/>
    <w:unhideWhenUsed/>
    <w:pPr>
      <w:spacing w:before="100" w:beforeAutospacing="1" w:after="100" w:afterAutospacing="1" w:line="240" w:lineRule="auto"/>
    </w:pPr>
    <w:rPr>
      <w:rFonts w:ascii="Tahoma" w:hAnsi="Tahoma"/>
      <w:sz w:val="24"/>
      <w:szCs w:val="24"/>
    </w:rPr>
  </w:style>
  <w:style w:type="character" w:styleId="1008">
    <w:name w:val="ConsPlusNormal Знак"/>
    <w:next w:val="1008"/>
    <w:link w:val="976"/>
    <w:rPr>
      <w:rFonts w:eastAsia="Times New Roman" w:cs="Calibri"/>
      <w:sz w:val="22"/>
    </w:rPr>
  </w:style>
  <w:style w:type="character" w:styleId="1009" w:default="1">
    <w:name w:val="Default Paragraph Font"/>
    <w:uiPriority w:val="1"/>
    <w:semiHidden/>
    <w:unhideWhenUsed/>
  </w:style>
  <w:style w:type="numbering" w:styleId="1010" w:default="1">
    <w:name w:val="No List"/>
    <w:uiPriority w:val="99"/>
    <w:semiHidden/>
    <w:unhideWhenUsed/>
  </w:style>
  <w:style w:type="table" w:styleId="101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Брызгунова Нина Николаевна</dc:creator>
  <cp:lastModifiedBy>bairamovanv</cp:lastModifiedBy>
  <cp:revision>8</cp:revision>
  <dcterms:created xsi:type="dcterms:W3CDTF">2026-04-20T11:07:00Z</dcterms:created>
  <dcterms:modified xsi:type="dcterms:W3CDTF">2026-05-19T11:12:10Z</dcterms:modified>
  <cp:version>1048576</cp:version>
</cp:coreProperties>
</file>