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-2"/>
        <w:jc w:val="right"/>
        <w:rPr>
          <w:rFonts w:ascii="XO Thames" w:hAnsi="XO Thames" w:cs="XO Thames"/>
        </w:rPr>
      </w:pPr>
      <w:r>
        <w:rPr>
          <w:rFonts w:ascii="XO Thames" w:hAnsi="XO Thames" w:cs="XO Thames"/>
        </w:rPr>
      </w:r>
      <w:r/>
    </w:p>
    <w:p>
      <w:pPr>
        <w:jc w:val="center"/>
        <w:shd w:val="clear" w:color="auto" w:fill="ffffff"/>
        <w:rPr>
          <w:rFonts w:ascii="XO Thames" w:hAnsi="XO Thames" w:cs="XO Thames"/>
        </w:rPr>
        <w:outlineLvl w:val="0"/>
      </w:pPr>
      <w:r>
        <w:rPr>
          <w:rFonts w:ascii="XO Thames" w:hAnsi="XO Thames" w:cs="XO Thames"/>
          <w:b/>
          <w:bCs/>
          <w:color w:val="000000" w:themeColor="text1"/>
          <w:szCs w:val="45"/>
        </w:rPr>
        <w:t xml:space="preserve">ТЕХНИЧЕСКОЕ ЗАДАНИЕ </w:t>
      </w:r>
      <w:r/>
    </w:p>
    <w:p>
      <w:pPr>
        <w:jc w:val="center"/>
        <w:shd w:val="clear" w:color="auto" w:fill="ffffff"/>
        <w:rPr>
          <w:rFonts w:ascii="XO Thames" w:hAnsi="XO Thames" w:cs="XO Thames"/>
        </w:rPr>
        <w:outlineLvl w:val="0"/>
      </w:pPr>
      <w:r>
        <w:rPr>
          <w:rFonts w:ascii="XO Thames" w:hAnsi="XO Thames" w:cs="XO Thames"/>
          <w:b/>
          <w:color w:val="000000" w:themeColor="text1"/>
        </w:rPr>
        <w:t xml:space="preserve">на организацию и проведение мероприятия в рамках фестиваля искусств, труда и спорта «Самотлорские ночи – 2024</w:t>
      </w:r>
      <w:r>
        <w:rPr>
          <w:rFonts w:ascii="XO Thames" w:hAnsi="XO Thames" w:cs="XO Thames"/>
          <w:b/>
          <w:color w:val="000000" w:themeColor="text1"/>
        </w:rPr>
        <w:t xml:space="preserve">» на стадионе «Центральный», </w:t>
      </w:r>
      <w:r>
        <w:rPr>
          <w:rFonts w:ascii="XO Thames" w:hAnsi="XO Thames" w:cs="XO Thames"/>
          <w:b/>
          <w:color w:val="000000" w:themeColor="text1"/>
        </w:rPr>
        <w:t xml:space="preserve">                 </w:t>
      </w:r>
      <w:bookmarkStart w:id="1" w:name="_GoBack"/>
      <w:r/>
      <w:bookmarkEnd w:id="1"/>
      <w:r>
        <w:rPr>
          <w:rFonts w:ascii="XO Thames" w:hAnsi="XO Thames" w:cs="XO Thames"/>
          <w:b/>
          <w:color w:val="000000" w:themeColor="text1"/>
        </w:rPr>
        <w:t xml:space="preserve">с установкой художественного оформления и обеспечением технического, звуко-светового оборудования</w:t>
      </w:r>
      <w:r/>
    </w:p>
    <w:p>
      <w:pPr>
        <w:jc w:val="center"/>
        <w:shd w:val="clear" w:color="auto" w:fill="ffffff"/>
        <w:rPr>
          <w:rFonts w:ascii="XO Thames" w:hAnsi="XO Thames" w:cs="XO Thames"/>
          <w:color w:val="000000" w:themeColor="text1"/>
        </w:rPr>
        <w:outlineLvl w:val="0"/>
      </w:pPr>
      <w:r>
        <w:rPr>
          <w:rFonts w:ascii="XO Thames" w:hAnsi="XO Thames" w:cs="XO Thames"/>
          <w:color w:val="000000" w:themeColor="text1"/>
        </w:rPr>
      </w:r>
      <w:r/>
    </w:p>
    <w:tbl>
      <w:tblPr>
        <w:tblW w:w="977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ook w:val="04A0" w:firstRow="1" w:lastRow="0" w:firstColumn="1" w:lastColumn="0" w:noHBand="0" w:noVBand="1"/>
      </w:tblPr>
      <w:tblGrid>
        <w:gridCol w:w="2037"/>
        <w:gridCol w:w="1928"/>
        <w:gridCol w:w="5811"/>
      </w:tblGrid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Заказчик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Департамент по социальной политике администрации города Нижневартовска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Основание для финансирования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Муниципальная программа «Развитие социальной сферы города Нижневартовска на 2019-2030 годы» утвержденная постановлением администрации города от 27.08.2018 №1167 (с изменениями)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rPr>
                <w:rFonts w:ascii="XO Thames" w:hAnsi="XO Thames" w:cs="XO Thames"/>
                <w:bCs/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color w:val="000000" w:themeColor="text1"/>
                <w:sz w:val="24"/>
                <w:szCs w:val="24"/>
              </w:rPr>
              <w:t xml:space="preserve">Максимальный размер субсидии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  <w:t xml:space="preserve">4 300,0 тыс. руб.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Сроки оказания услуги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14 июня 2024 года в дни проведения фестиваля искусств, труда и спорта «Самотлорские ночи – 2024»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Место проведения мероприятия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стадион «Центральный»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Целевая аудитория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жители и гости города, не менее 3 000 чел.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Цель мероприятия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- создание благоприятных условий для организации свободного времени жителей и гостей города, их отдыха и повышения культурного уровня;</w:t>
            </w:r>
            <w:r/>
          </w:p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- повышение интереса к традициям, культуре различных национальных групп России;</w:t>
            </w:r>
            <w:r/>
          </w:p>
          <w:p>
            <w:pPr>
              <w:jc w:val="both"/>
              <w:rPr>
                <w:rFonts w:ascii="XO Thames" w:hAnsi="XO Thames" w:cs="XO Thames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- создание благоприятных условий для само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реализации творческого потенциала творческих коллективов и отдельных исполнителей.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Характеристики работ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6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Организация и проведение мероприятия в рамках фестиваля искусств, труда и спорта «Самотлорские ночи – 2024» на стадионе «Центральный», с установкой худ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ожественного оформления и обеспечением технического, звуко-светового оборудования.</w:t>
            </w:r>
            <w:r/>
          </w:p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Исполнителю необходимо осуществить следующие виды работ:</w:t>
            </w:r>
            <w:r/>
          </w:p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Техническое обеспечение мероприятия собственным и/или арендованным оборудованием. </w:t>
            </w:r>
            <w:r/>
          </w:p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Техническое обеспечение каждого э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тапа включает следующие виды работ: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завоз и вывоз 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монтаж мобильной крытой сцены;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монтаж светового 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монтаж звукового 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монтаж видеооборудования;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монтаж дополнительного 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настройка оборудования;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сопровождение репетиций и концертных программ;</w:t>
            </w:r>
            <w:r/>
          </w:p>
          <w:p>
            <w:pPr>
              <w:numPr>
                <w:ilvl w:val="0"/>
                <w:numId w:val="16"/>
              </w:numPr>
              <w:ind w:left="283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демонтажные работы по завершению оказания услуг.</w:t>
            </w:r>
            <w:r/>
          </w:p>
          <w:p>
            <w:pPr>
              <w:jc w:val="center"/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Требования к сцене и оборудованию, необходимых к установке.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Сцена</w:t>
            </w:r>
            <w:r/>
          </w:p>
          <w:p>
            <w:pPr>
              <w:numPr>
                <w:ilvl w:val="0"/>
                <w:numId w:val="27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сценический подиум размером не менее: ширина - 14.4 метров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глубина - 9.5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 метров, подъем - 1,70 метров - не менее 138 м2.</w:t>
            </w:r>
            <w:r/>
          </w:p>
          <w:p>
            <w:pPr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павильон сценического комплекса из алюминиевых ферм 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замкнутым коньком, двухскатной крышей, тентованная крыша,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включая комплект одежды сцены - 1 шт.</w:t>
            </w:r>
            <w:r/>
          </w:p>
          <w:p>
            <w:pPr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л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естница с перилами с двух сторон (право, лево) - 2 шт.</w:t>
            </w:r>
            <w:r/>
          </w:p>
          <w:p>
            <w:pPr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лестница центральная - 1 шт.</w:t>
            </w:r>
            <w:r/>
          </w:p>
          <w:p>
            <w:pPr>
              <w:pStyle w:val="734"/>
              <w:numPr>
                <w:ilvl w:val="0"/>
                <w:numId w:val="27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пультовая для установки приборов управления звуковым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световым и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видеопроекционным оборудованием - 1 шт.</w:t>
            </w:r>
            <w:r/>
          </w:p>
          <w:p>
            <w:pPr>
              <w:pStyle w:val="734"/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лебедка электрическая цепная, грузоподъемностью не менее 100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0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г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для подвеса оборудования - 14 шт.</w:t>
            </w:r>
            <w:r/>
          </w:p>
          <w:p>
            <w:pPr>
              <w:pStyle w:val="734"/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пульт управления электр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ическими лебедками - 1 шт.</w:t>
            </w:r>
            <w:r/>
          </w:p>
          <w:p>
            <w:pPr>
              <w:pStyle w:val="734"/>
              <w:numPr>
                <w:ilvl w:val="0"/>
                <w:numId w:val="27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кабель канал резиновый для укладки проводов в месте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проведения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мероприятия - 30 шт.</w:t>
            </w:r>
            <w:r/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Оборудование для озвучивания 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6600"/>
              </w:rPr>
              <w:t xml:space="preserve">элемент линейного массива не менее 3х полосный, не менее 1250</w:t>
            </w:r>
            <w:r>
              <w:rPr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вт, динамики не менее 8 дюймов (должен включать рамы для </w:t>
            </w:r>
            <w:r>
              <w:rPr>
                <w:sz w:val="24"/>
                <w:szCs w:val="24"/>
                <w:highlight w:val="white"/>
                <w:shd w:val="clear" w:color="auto" w:fill="ff6600"/>
              </w:rPr>
              <w:t xml:space="preserve">подвеса акустической системы)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– не менее 22 шт.</w:t>
            </w:r>
            <w:r/>
          </w:p>
          <w:p>
            <w:pPr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сабвуфер прямого излучения, динамики не менее 18 дюймов н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менее 2х штук в кабинете – не менее 16 шт.</w:t>
            </w:r>
            <w:r/>
          </w:p>
          <w:p>
            <w:pPr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4-х канальный усилитель мощности со встроенным цифровым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процессором обработки сигнала, c рабочим диапазоном частот: 20 Гц – 20 кГц (+/-0,3 дБ) и выходной мощностью RMS 4 × 1400 Вт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(8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Ом), 4 × 2200 Вт (4 Ом) и 4 × 2500 Вт (2 Ом) – не менее 7 шт.</w:t>
            </w:r>
            <w:r/>
          </w:p>
          <w:p>
            <w:pPr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цифровой ма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тричный процессор с Dante, 8 входов/8 выходов -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1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шт.</w:t>
            </w:r>
            <w:r/>
          </w:p>
          <w:p>
            <w:pPr>
              <w:pStyle w:val="734"/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акустический кабель для подключения акустической системы,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с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сечением 4*4  с медной жилой с разьемами SPEAKON - 250 м.</w:t>
            </w:r>
            <w:r/>
          </w:p>
          <w:p>
            <w:pPr>
              <w:pStyle w:val="734"/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цифровой микшерный пульт: входные каналы: 72 моно, 8 стерео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Частота дис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кретизации: Внутр. 44,1 кГц / 48 кГц, внешн.44,1 кГц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: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+4,1667%, +0,1%, –0,1%, –4,0% (±200 импульсов в минуту), 48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кГц: +4,1667%, +0,1%, –0,1%, –4,0%. Должен включать точк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у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доступа и планшетный компьютер для удаленного управления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микшерным пультом - 1 шт.</w:t>
            </w:r>
            <w:r/>
          </w:p>
          <w:p>
            <w:pPr>
              <w:pStyle w:val="734"/>
              <w:numPr>
                <w:ilvl w:val="0"/>
                <w:numId w:val="28"/>
              </w:numPr>
              <w:jc w:val="both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c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тэйдж бокс для цифрового микшерного пульта: цифровое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устройство input/output 16 выходов, 32 входа и 4 стереовыхода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типа AES/EBU, должно быть совместимо с цифровым пультом. В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комплекте должен быть свитч для раздачи цифрового сигнала. -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1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шт.</w:t>
            </w:r>
            <w:r/>
          </w:p>
          <w:p>
            <w:pPr>
              <w:pStyle w:val="73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акустическая си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стема для организации связи на позициях FOH -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STAGE - 1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конденсаторный инструментальный микрофон – 10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динамический вокальный микрофон – 8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набор микрофонов для озвучивания барабанной установк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(микрофон для басс бочки - 1шт., микрофон для подзву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чивания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малого барабана - 2шт., микрофон для подзвучивания томов - 3шт.,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микрофон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для подзвучивания тарелок - 3шт.) - 1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источник бесперебойного питания мощностью не менее 1500 Вт.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–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2шт.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стойка микрофонная типа "журавль" – 24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стойка гитарная с автозахватом грифа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- 3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система персонального ушного мониторинга включая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радиопередатчик и поясной радиоприемник. Включая ушны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гарнитуры - 8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Активный антенный сумматор, совместимый с используемым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микрофонными радиосистемами - 2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цифровая микрофонная радиосистема с ручным передатчико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м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класс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а не ниже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  <w:lang w:val="en-US"/>
              </w:rPr>
              <w:t xml:space="preserve">Beta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58 или E935. Комплект должен включать направленные антенны для организации надежного радиотракта во время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проведения мероприятия -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16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ударная установка 22, 10, 12, 16 малый барабан, тарелки, стойк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под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тарелки, стул барабанщика, педаль для басс бочки, подиум для ударной установки 3х2, ковровое покрытие для ударной установки. Ударная установка должна быть высокого класса для обеспечения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ыступления приглашенных артистов. – 1 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88 клавиш чувствительная к скорости нажатия молоточковая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клавиатура. Диапазон: A-C. 2-а OLED-дисплея для разделов Program и Synth. 400 программ - 8 банков по 10 страниц каждый. (включая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стойку для игры стоя) – 1шт.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профессиональный, 4-канальный DJ-микшер, с 64-битным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процессором и интегрированной звуковой картой, с частотой дискретизации - 96 кГц/24 бит. 6 эффектов Sound Colour FX, 14 эффектов Beat FX с зоной X-Pad большего размера и экраном OLED. Отдельный посыл/во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зврат для подключения внешних устройств и программных эффектов, 2 USB порта и переключатель входов. Интерфейс Pro DJ Link через LAN или USB, 2 выхода для наушников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- 1 шт. – 1 комплект.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п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рофессиональный диджейский проигрыватель, с 7-дюймовы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м сенсорным ЖК-дисплеем высокого разрешения, качество звука с поддержкой lossless-форматов FLAC и ALAC. поддерживаемые форматы: WAV, AIFF, FLAC, ALAC, MP3 и AAC; частотный диапазон: 4 – 40000 Гц; соотношение сигнал/шум: ≥ 115 дБ;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коэффициент гармоник: ≤ 0,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002% (USB); - 2 шт.- 1 комплект.</w:t>
            </w:r>
            <w:r/>
          </w:p>
          <w:p>
            <w:pPr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а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ктивный директ бокс входное сопротивление: 1 Мом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;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выходное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сопротивление: 600 Ом; мощность трансформатора (справочно): 0.01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Вт; в металлическом корпусе. – 12 шт.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Световое оборудование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ц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ифровой пульт управления световым оборудованием – 1 шт.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ветодиодная «вращающаяся голова» Wash 19X20Вт 4-в-1 RGBW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4-в-1 светодиодов, угол раскрытия луча 7°-55°. Цветова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я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температу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ра: 2500K-10000K., Ring control управление группами светодиодов.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Управление п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о: DMX512, RDM. – 28 шт.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ветовой прибор типа BEAM, SPOT, WASH. Источн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ик: Газоразрядная лампа с короткой дугой со встроенным рефлектором - Osram Sirius HRI 280W, Оптическая система: Режим Beam: 75,250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lx @ 20 м ; Режим Spot: 82,400 lx @ 5 м – 18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шт.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тробо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скоп Тип лампы: ксеноновая лампа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Philips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XOP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15 -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OF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или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  <w:lang w:val="en-US"/>
              </w:rPr>
              <w:t xml:space="preserve">XOP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7 -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  <w:lang w:val="en-US"/>
              </w:rPr>
              <w:t xml:space="preserve">OF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  <w:lang w:val="en-US"/>
              </w:rPr>
              <w:t xml:space="preserve">Xenon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(включена в поставку) цветовая температура 5600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– 12 шт.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л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инейный световой прибор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Led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Bar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1810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 – 16 шт.</w:t>
            </w:r>
            <w:r/>
          </w:p>
          <w:p>
            <w:pPr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л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инейный световой прибор типа Sunstrip – 16 шт.</w:t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Светодиодный экран</w:t>
            </w:r>
            <w:r/>
          </w:p>
          <w:p>
            <w:pPr>
              <w:numPr>
                <w:ilvl w:val="0"/>
                <w:numId w:val="30"/>
              </w:numPr>
              <w:ind w:left="709"/>
              <w:jc w:val="both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светодиодный экран (располагается на сцене по центру). Экра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н уличного исполнения (влаго, пылезащищенный), шаг пикселя не более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10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мм.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, частота обновления не менее 3840 Гц. Яркость не менее 5000 nit. Включает систему управления светодиодным экраном, медиасервер. Возможность подключения ПТС системы. – не менее 36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6600"/>
              </w:rPr>
              <w:t xml:space="preserve">м2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0165be"/>
              </w:rPr>
              <w:t xml:space="preserve">;</w:t>
            </w:r>
            <w:r/>
          </w:p>
          <w:p>
            <w:pPr>
              <w:numPr>
                <w:ilvl w:val="0"/>
                <w:numId w:val="30"/>
              </w:numPr>
              <w:ind w:left="709"/>
              <w:jc w:val="both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светодиодный экран (располагается по бокам от сцены). Экран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уличного исп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олнения (влаго, пылезащищенный), шаг пикселя 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боле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4.81, частота обновления не менее 3840 Гц. Яркость 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мен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ее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5000 nit. Включает систему управления светодиодным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экраном, медиасервер. Возможность подключения ПТС системы.-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не ме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нее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48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м2;</w:t>
            </w:r>
            <w:r/>
          </w:p>
          <w:p>
            <w:pPr>
              <w:numPr>
                <w:ilvl w:val="0"/>
                <w:numId w:val="30"/>
              </w:numPr>
              <w:ind w:left="709" w:right="-27"/>
              <w:jc w:val="both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конструкция из алюминиевых ферм для установки светодиодног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  <w:shd w:val="clear" w:color="auto" w:fill="ffff00"/>
              </w:rPr>
              <w:t xml:space="preserve">экрана  – 2 шт.</w:t>
            </w:r>
            <w:r/>
          </w:p>
          <w:p>
            <w:pPr>
              <w:ind w:left="709" w:hanging="36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Характеристика художественного оформления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использование баннера с полноцветной печатью;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баннерная сетка с полноцветной печатью;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использование люверсов по периметру для надежности монтажа;                                                                                                                                   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присутствие эмблем и символики фестиваля;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изображение на флагах с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имволики фестиваля, логотипы символики фестиваля;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монтаж и демонтаж флагов на территории, задействованной для проведения фестиваля;</w:t>
            </w:r>
            <w:r/>
          </w:p>
          <w:p>
            <w:pPr>
              <w:pStyle w:val="734"/>
              <w:numPr>
                <w:ilvl w:val="0"/>
                <w:numId w:val="18"/>
              </w:numPr>
              <w:ind w:left="709" w:hanging="283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разработка и после согласования с заказчиком, изготовление полиграфической продукции (не менее чем за 3 дня до проведения ме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  <w:highlight w:val="white"/>
              </w:rPr>
              <w:t xml:space="preserve">роприятия). </w:t>
            </w:r>
            <w:r/>
          </w:p>
          <w:p>
            <w:pPr>
              <w:ind w:left="142" w:right="0" w:firstLine="0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Примечание.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  <w:t xml:space="preserve"> Возможно изменение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  <w:t xml:space="preserve"> конструктива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  <w:t xml:space="preserve"> сцены с учетом режиссерского замысла в пределах объема предоставленных финансовых средств.</w:t>
            </w:r>
            <w:r/>
          </w:p>
          <w:p>
            <w:pPr>
              <w:ind w:left="146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Примечание.</w:t>
            </w:r>
            <w:r/>
          </w:p>
          <w:p>
            <w:pPr>
              <w:ind w:firstLine="426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Сценический ком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плекс, включая все оборудование, должен соответствовать всем мерам безопасности, все оборудование должно быть заземлено, защищено от скачков напряжения. Звуковое оборудование должно питаться от отдельной фазы, независимой от светового и видео оборудования.</w:t>
            </w:r>
            <w:r/>
          </w:p>
          <w:p>
            <w:pPr>
              <w:ind w:firstLine="426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Стадион покрыт искусственной травой, поэтому следует обеспечить безопасную установку сценического комплекса, чтобы не допустить порчу покрытия. При монтаже сцены необходимо учесть, что заезд техники на поле невозможен. </w:t>
            </w:r>
            <w:r/>
          </w:p>
          <w:p>
            <w:pPr>
              <w:ind w:firstLine="426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Обеспечить личный контроль за полны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м обеспечением мероприятия на стадионе "Центральный" всем необходимым инвентарем и оборудованием, включая монтаж/демонтаж: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171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сценическая площадка для выступления;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171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качественное свето- и звуковое оборудование, соответствующее размером стадиона и потребностям выступающих;</w:t>
            </w:r>
            <w:r/>
          </w:p>
          <w:p>
            <w:pPr>
              <w:ind w:firstLine="171"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Обеспечить соблюдение техники безопасности и пожарной безопасности, а именно:</w:t>
            </w:r>
            <w:r/>
          </w:p>
          <w:p>
            <w:pPr>
              <w:numPr>
                <w:ilvl w:val="0"/>
                <w:numId w:val="14"/>
              </w:numPr>
              <w:contextualSpacing/>
              <w:ind w:left="0" w:firstLine="171"/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исполнитель несет ответственность за техническое состояние любого испол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его по вине исполнителя;</w:t>
            </w:r>
            <w:r/>
          </w:p>
          <w:p>
            <w:pPr>
              <w:numPr>
                <w:ilvl w:val="0"/>
                <w:numId w:val="14"/>
              </w:numPr>
              <w:contextualSpacing/>
              <w:ind w:left="0" w:firstLine="171"/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обеспечивает соблюдение обслуживающим персоналом сцены требований техники безопасности, а также пожарной безопасности в соответствии с действующим законодательством.</w:t>
            </w:r>
            <w:r/>
          </w:p>
          <w:p>
            <w:pPr>
              <w:contextualSpacing/>
              <w:ind w:firstLine="171"/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ind w:firstLine="426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График оказания услуг по техническому обеспечению концертных про</w:t>
            </w: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грамм:</w:t>
            </w:r>
            <w:r/>
          </w:p>
          <w:p>
            <w:pPr>
              <w:pStyle w:val="712"/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Завоз оборудования на стадион: с 06.06.2024.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pStyle w:val="712"/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Монтаж и наладка оборудования: </w:t>
            </w:r>
            <w:r>
              <w:rPr>
                <w:rFonts w:ascii="XO Thames" w:hAnsi="XO Thames" w:eastAsia="Times New Roman" w:cs="XO Thames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34"/>
              <w:numPr>
                <w:ilvl w:val="0"/>
                <w:numId w:val="31"/>
              </w:numPr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сценического комплекса и звукового оборудования до10.06.2024.</w:t>
            </w:r>
            <w:r>
              <w:rPr>
                <w:rFonts w:ascii="XO Thames" w:hAnsi="XO Thames" w:eastAsia="Times New Roman" w:cs="XO Thames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34"/>
              <w:numPr>
                <w:ilvl w:val="0"/>
                <w:numId w:val="31"/>
              </w:numPr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светового оборудования до 12.06.2024.</w:t>
            </w:r>
            <w:r>
              <w:rPr>
                <w:rFonts w:ascii="XO Thames" w:hAnsi="XO Thames" w:eastAsia="Times New Roman" w:cs="XO Thames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34"/>
              <w:numPr>
                <w:ilvl w:val="0"/>
                <w:numId w:val="31"/>
              </w:numPr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светодиодные экраны до12.06.2024.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ind w:left="0" w:firstLine="0"/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Комплексное обслуживание сводной репетиций: </w:t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12.06.2024.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pStyle w:val="712"/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Комплексное обслуживание генеральных репетиций: 13.06.2024. 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pStyle w:val="712"/>
              <w:jc w:val="both"/>
              <w:spacing w:before="0" w:after="0" w:line="240" w:lineRule="auto"/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Комплексное обслуживание </w:t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мероприятия: </w:t>
            </w: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14.06.2024.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pStyle w:val="712"/>
              <w:jc w:val="both"/>
              <w:spacing w:before="0" w:after="0" w:line="240" w:lineRule="auto"/>
              <w:rPr>
                <w:rFonts w:ascii="XO Thames" w:hAnsi="XO Thames" w:eastAsia="Times New Roman" w:cs="XO Thames"/>
                <w:color w:val="000000" w:themeColor="text1"/>
              </w:rPr>
            </w:pPr>
            <w:r>
              <w:rPr>
                <w:rFonts w:ascii="XO Thames" w:hAnsi="XO Thames" w:eastAsia="Times New Roman" w:cs="XO Thames"/>
                <w:bCs/>
                <w:color w:val="000000" w:themeColor="text1"/>
                <w:sz w:val="24"/>
                <w:szCs w:val="24"/>
                <w:lang w:eastAsia="ru-RU"/>
              </w:rPr>
              <w:t xml:space="preserve">Демонтаж оборудования: 15.06.2024.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/>
          </w:p>
          <w:p>
            <w:pPr>
              <w:ind w:firstLine="454"/>
              <w:jc w:val="center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Исполнитель организует интерактивное развлекательное мероприятие: 14.06.2024 на стадионе «Центральный»:</w:t>
            </w:r>
            <w:r/>
          </w:p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- обеспечивает приглашение артистов и их выступление. (включая трансфер, проживание и питание).</w:t>
            </w:r>
            <w:r/>
          </w:p>
          <w:p>
            <w:pPr>
              <w:ind w:firstLine="317"/>
              <w:jc w:val="both"/>
              <w:rPr>
                <w:rFonts w:ascii="XO Thames" w:hAnsi="XO Thames" w:cs="XO Thames"/>
                <w:b/>
                <w:color w:val="000000" w:themeColor="text1"/>
                <w:sz w:val="24"/>
                <w:szCs w:val="24"/>
                <w:highlight w:val="white"/>
                <w:u w:val="single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Исполнитель имеет право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ятия. Имеет право на изменение количества и ассортимента услуг, не ухудшая качества работ, требования технического задания и не увеличения стоимости контракта.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  <w:t xml:space="preserve">Количество оказываемых услуг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Исполнитель:</w:t>
            </w:r>
            <w:r/>
          </w:p>
          <w:p>
            <w:pPr>
              <w:jc w:val="both"/>
              <w:rPr>
                <w:rFonts w:ascii="XO Thames" w:hAnsi="XO Thames" w:cs="XO Thames"/>
                <w:b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Обязуется предоставить техническое обеспечение, звуко</w:t>
            </w:r>
            <w:r>
              <w:rPr>
                <w:rFonts w:ascii="XO Thames" w:hAnsi="XO Thames" w:cs="XO Thames"/>
                <w:bCs/>
                <w:color w:val="000000" w:themeColor="text1"/>
                <w:sz w:val="24"/>
                <w:szCs w:val="24"/>
              </w:rPr>
              <w:t xml:space="preserve">вое обеспечение, световое обеспечение и художественное оформление мероприятия на стадионе «Центральный» и организовать мероприятие, продолжительностью не менее 1 часа.</w:t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b/>
                <w:color w:val="000000" w:themeColor="text1"/>
                <w:sz w:val="24"/>
                <w:szCs w:val="24"/>
              </w:rPr>
              <w:t xml:space="preserve">Обеспечение безопасности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2" w:type="dxa"/>
            <w:textDirection w:val="lrTb"/>
            <w:noWrap w:val="false"/>
          </w:tcPr>
          <w:p>
            <w:pPr>
              <w:jc w:val="both"/>
              <w:rPr>
                <w:rFonts w:ascii="XO Thames" w:hAnsi="XO Thames" w:cs="XO Thames"/>
                <w:sz w:val="24"/>
                <w:szCs w:val="24"/>
              </w:rPr>
              <w:outlineLvl w:val="0"/>
            </w:pPr>
            <w:r>
              <w:rPr>
                <w:rFonts w:ascii="XO Thames" w:hAnsi="XO Thames" w:cs="XO Thames"/>
                <w:color w:val="000000" w:themeColor="text1"/>
                <w:sz w:val="24"/>
                <w:szCs w:val="24"/>
              </w:rPr>
              <w:t xml:space="preserve">организация и проведение мероприятия должны быть осуществлены исполнителем в соответствии с постановлением администрации города от 26.06.2013 №1277 «Об организации и проведении разовых массовых мероприятий в городе Нижневартовске и обеспечении антитеррорис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</w:rPr>
              <w:t xml:space="preserve">тической безопасности при их проведении»</w:t>
            </w:r>
            <w:r/>
          </w:p>
        </w:tc>
      </w:tr>
    </w:tbl>
    <w:p>
      <w:pPr>
        <w:pStyle w:val="898"/>
        <w:ind w:right="-2"/>
        <w:jc w:val="left"/>
      </w:pPr>
      <w:r/>
      <w:r/>
    </w:p>
    <w:sectPr>
      <w:footnotePr/>
      <w:endnotePr/>
      <w:type w:val="nextPage"/>
      <w:pgSz w:w="11906" w:h="16838" w:orient="portrait"/>
      <w:pgMar w:top="1134" w:right="567" w:bottom="1134" w:left="1701" w:header="0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cs="Symbol"/>
        <w:b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cs="Symbol"/>
        <w:b/>
        <w:sz w:val="23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cs="Symbol"/>
        <w:b/>
        <w:sz w:val="23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cs="Symbol"/>
        <w:b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cs="Symbol"/>
        <w:b/>
        <w:sz w:val="23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cs="Symbol"/>
        <w:b/>
        <w:sz w:val="23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cs="Symbol"/>
        <w:b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cs="Symbol"/>
        <w:b/>
        <w:sz w:val="23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cs="Symbol"/>
        <w:b/>
        <w:sz w:val="23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hint="default" w:ascii="Symbol" w:hAnsi="Symbol" w:cs="Symbol"/>
        <w:b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cs="Symbol"/>
        <w:b/>
        <w:sz w:val="23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cs="Symbol"/>
        <w:b/>
        <w:sz w:val="23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506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204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76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8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0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2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4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6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8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01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26"/>
  </w:num>
  <w:num w:numId="5">
    <w:abstractNumId w:val="15"/>
  </w:num>
  <w:num w:numId="6">
    <w:abstractNumId w:val="4"/>
  </w:num>
  <w:num w:numId="7">
    <w:abstractNumId w:val="14"/>
  </w:num>
  <w:num w:numId="8">
    <w:abstractNumId w:val="17"/>
  </w:num>
  <w:num w:numId="9">
    <w:abstractNumId w:val="25"/>
  </w:num>
  <w:num w:numId="10">
    <w:abstractNumId w:val="28"/>
  </w:num>
  <w:num w:numId="11">
    <w:abstractNumId w:val="6"/>
  </w:num>
  <w:num w:numId="12">
    <w:abstractNumId w:val="7"/>
  </w:num>
  <w:num w:numId="13">
    <w:abstractNumId w:val="1"/>
  </w:num>
  <w:num w:numId="14">
    <w:abstractNumId w:val="18"/>
  </w:num>
  <w:num w:numId="15">
    <w:abstractNumId w:val="19"/>
  </w:num>
  <w:num w:numId="16">
    <w:abstractNumId w:val="12"/>
  </w:num>
  <w:num w:numId="17">
    <w:abstractNumId w:val="21"/>
  </w:num>
  <w:num w:numId="18">
    <w:abstractNumId w:val="23"/>
  </w:num>
  <w:num w:numId="19">
    <w:abstractNumId w:val="22"/>
  </w:num>
  <w:num w:numId="20">
    <w:abstractNumId w:val="29"/>
  </w:num>
  <w:num w:numId="21">
    <w:abstractNumId w:val="8"/>
  </w:num>
  <w:num w:numId="22">
    <w:abstractNumId w:val="20"/>
  </w:num>
  <w:num w:numId="23">
    <w:abstractNumId w:val="2"/>
  </w:num>
  <w:num w:numId="24">
    <w:abstractNumId w:val="27"/>
  </w:num>
  <w:num w:numId="25">
    <w:abstractNumId w:val="9"/>
  </w:num>
  <w:num w:numId="26">
    <w:abstractNumId w:val="11"/>
  </w:num>
  <w:num w:numId="27">
    <w:abstractNumId w:val="10"/>
  </w:num>
  <w:num w:numId="28">
    <w:abstractNumId w:val="3"/>
  </w:num>
  <w:num w:numId="29">
    <w:abstractNumId w:val="0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2 Char"/>
    <w:basedOn w:val="722"/>
    <w:link w:val="714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2"/>
    <w:link w:val="736"/>
    <w:uiPriority w:val="10"/>
    <w:rPr>
      <w:sz w:val="48"/>
      <w:szCs w:val="48"/>
    </w:rPr>
  </w:style>
  <w:style w:type="character" w:styleId="705">
    <w:name w:val="Subtitle Char"/>
    <w:basedOn w:val="722"/>
    <w:link w:val="738"/>
    <w:uiPriority w:val="11"/>
    <w:rPr>
      <w:sz w:val="24"/>
      <w:szCs w:val="24"/>
    </w:rPr>
  </w:style>
  <w:style w:type="character" w:styleId="706">
    <w:name w:val="Quote Char"/>
    <w:link w:val="740"/>
    <w:uiPriority w:val="29"/>
    <w:rPr>
      <w:i/>
    </w:rPr>
  </w:style>
  <w:style w:type="character" w:styleId="707">
    <w:name w:val="Intense Quote Char"/>
    <w:link w:val="742"/>
    <w:uiPriority w:val="30"/>
    <w:rPr>
      <w:i/>
    </w:rPr>
  </w:style>
  <w:style w:type="character" w:styleId="708">
    <w:name w:val="Header Char"/>
    <w:basedOn w:val="722"/>
    <w:link w:val="744"/>
    <w:uiPriority w:val="99"/>
  </w:style>
  <w:style w:type="character" w:styleId="709">
    <w:name w:val="Caption Char"/>
    <w:basedOn w:val="748"/>
    <w:link w:val="746"/>
    <w:uiPriority w:val="99"/>
  </w:style>
  <w:style w:type="character" w:styleId="710">
    <w:name w:val="Footnote Text Char"/>
    <w:link w:val="877"/>
    <w:uiPriority w:val="99"/>
    <w:rPr>
      <w:sz w:val="18"/>
    </w:rPr>
  </w:style>
  <w:style w:type="character" w:styleId="711">
    <w:name w:val="Endnote Text Char"/>
    <w:link w:val="880"/>
    <w:uiPriority w:val="99"/>
    <w:rPr>
      <w:sz w:val="20"/>
    </w:rPr>
  </w:style>
  <w:style w:type="paragraph" w:styleId="712" w:default="1">
    <w:name w:val="Normal"/>
    <w:qFormat/>
    <w:rPr>
      <w:color w:val="000000"/>
      <w:sz w:val="28"/>
      <w:szCs w:val="28"/>
      <w:lang w:eastAsia="ru-RU"/>
    </w:rPr>
  </w:style>
  <w:style w:type="paragraph" w:styleId="713">
    <w:name w:val="Heading 1"/>
    <w:basedOn w:val="712"/>
    <w:next w:val="712"/>
    <w:link w:val="904"/>
    <w:qFormat/>
    <w:pPr>
      <w:jc w:val="center"/>
      <w:keepNext/>
      <w:outlineLvl w:val="0"/>
    </w:pPr>
    <w:rPr>
      <w:b/>
      <w:sz w:val="32"/>
      <w:szCs w:val="20"/>
    </w:rPr>
  </w:style>
  <w:style w:type="paragraph" w:styleId="714">
    <w:name w:val="Heading 2"/>
    <w:basedOn w:val="712"/>
    <w:next w:val="712"/>
    <w:link w:val="726"/>
    <w:qFormat/>
    <w:pPr>
      <w:ind w:right="-24"/>
      <w:jc w:val="center"/>
      <w:keepNext/>
      <w:tabs>
        <w:tab w:val="left" w:pos="7371" w:leader="none"/>
        <w:tab w:val="left" w:pos="8306" w:leader="none"/>
      </w:tabs>
      <w:outlineLvl w:val="1"/>
    </w:pPr>
    <w:rPr>
      <w:b/>
      <w:bCs/>
      <w:caps/>
    </w:rPr>
  </w:style>
  <w:style w:type="paragraph" w:styleId="715">
    <w:name w:val="Heading 3"/>
    <w:basedOn w:val="712"/>
    <w:next w:val="712"/>
    <w:link w:val="727"/>
    <w:qFormat/>
    <w:pPr>
      <w:jc w:val="center"/>
      <w:keepNext/>
      <w:outlineLvl w:val="2"/>
    </w:pPr>
    <w:rPr>
      <w:rFonts w:eastAsia="Arial Unicode MS"/>
      <w:b/>
      <w:szCs w:val="20"/>
    </w:rPr>
  </w:style>
  <w:style w:type="paragraph" w:styleId="716">
    <w:name w:val="Heading 4"/>
    <w:basedOn w:val="712"/>
    <w:next w:val="712"/>
    <w:link w:val="728"/>
    <w:qFormat/>
    <w:pPr>
      <w:jc w:val="right"/>
      <w:keepNext/>
      <w:outlineLvl w:val="3"/>
    </w:pPr>
    <w:rPr>
      <w:rFonts w:eastAsia="Arial Unicode MS"/>
      <w:szCs w:val="24"/>
    </w:rPr>
  </w:style>
  <w:style w:type="paragraph" w:styleId="717">
    <w:name w:val="Heading 5"/>
    <w:basedOn w:val="712"/>
    <w:next w:val="712"/>
    <w:link w:val="729"/>
    <w:qFormat/>
    <w:pPr>
      <w:jc w:val="center"/>
      <w:keepNext/>
      <w:outlineLvl w:val="4"/>
    </w:pPr>
    <w:rPr>
      <w:rFonts w:eastAsia="Arial Unicode MS"/>
      <w:szCs w:val="24"/>
    </w:rPr>
  </w:style>
  <w:style w:type="paragraph" w:styleId="718">
    <w:name w:val="Heading 6"/>
    <w:basedOn w:val="712"/>
    <w:next w:val="712"/>
    <w:link w:val="730"/>
    <w:qFormat/>
    <w:pPr>
      <w:ind w:left="5040"/>
      <w:keepNext/>
      <w:outlineLvl w:val="5"/>
    </w:pPr>
    <w:rPr>
      <w:b/>
      <w:bCs/>
      <w:szCs w:val="24"/>
    </w:rPr>
  </w:style>
  <w:style w:type="paragraph" w:styleId="719">
    <w:name w:val="Heading 7"/>
    <w:basedOn w:val="712"/>
    <w:next w:val="712"/>
    <w:link w:val="731"/>
    <w:qFormat/>
    <w:pPr>
      <w:ind w:firstLine="5236"/>
      <w:keepNext/>
      <w:outlineLvl w:val="6"/>
    </w:pPr>
    <w:rPr>
      <w:rFonts w:ascii="Arial" w:hAnsi="Arial" w:cs="Arial"/>
      <w:b/>
      <w:bCs/>
      <w:sz w:val="20"/>
    </w:rPr>
  </w:style>
  <w:style w:type="paragraph" w:styleId="720">
    <w:name w:val="Heading 8"/>
    <w:basedOn w:val="712"/>
    <w:next w:val="712"/>
    <w:link w:val="732"/>
    <w:qFormat/>
    <w:pPr>
      <w:jc w:val="center"/>
      <w:keepNext/>
      <w:outlineLvl w:val="7"/>
    </w:pPr>
    <w:rPr>
      <w:b/>
      <w:bCs/>
    </w:rPr>
  </w:style>
  <w:style w:type="paragraph" w:styleId="721">
    <w:name w:val="Heading 9"/>
    <w:basedOn w:val="712"/>
    <w:next w:val="712"/>
    <w:link w:val="733"/>
    <w:qFormat/>
    <w:pPr>
      <w:keepNext/>
      <w:outlineLvl w:val="8"/>
    </w:pPr>
    <w:rPr>
      <w:b/>
      <w:szCs w:val="22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12"/>
    <w:uiPriority w:val="34"/>
    <w:qFormat/>
    <w:pPr>
      <w:ind w:left="708"/>
    </w:pPr>
  </w:style>
  <w:style w:type="paragraph" w:styleId="735">
    <w:name w:val="No Spacing"/>
    <w:uiPriority w:val="1"/>
    <w:qFormat/>
  </w:style>
  <w:style w:type="paragraph" w:styleId="736">
    <w:name w:val="Title"/>
    <w:basedOn w:val="712"/>
    <w:next w:val="71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link w:val="736"/>
    <w:uiPriority w:val="10"/>
    <w:rPr>
      <w:sz w:val="48"/>
      <w:szCs w:val="48"/>
    </w:rPr>
  </w:style>
  <w:style w:type="paragraph" w:styleId="738">
    <w:name w:val="Subtitle"/>
    <w:basedOn w:val="712"/>
    <w:link w:val="739"/>
    <w:qFormat/>
    <w:pPr>
      <w:jc w:val="center"/>
    </w:pPr>
    <w:rPr>
      <w:rFonts w:ascii="Arial" w:hAnsi="Arial" w:cs="Arial"/>
      <w:b/>
      <w:bCs/>
      <w:sz w:val="24"/>
      <w:szCs w:val="24"/>
    </w:r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712"/>
    <w:next w:val="712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2"/>
    <w:next w:val="712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712"/>
    <w:link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link w:val="744"/>
    <w:uiPriority w:val="99"/>
  </w:style>
  <w:style w:type="paragraph" w:styleId="746">
    <w:name w:val="Footer"/>
    <w:basedOn w:val="712"/>
    <w:link w:val="74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7" w:customStyle="1">
    <w:name w:val="Footer Char"/>
    <w:uiPriority w:val="99"/>
  </w:style>
  <w:style w:type="paragraph" w:styleId="748">
    <w:name w:val="Caption"/>
    <w:basedOn w:val="712"/>
    <w:next w:val="712"/>
    <w:qFormat/>
    <w:pPr>
      <w:ind w:left="5600" w:right="518"/>
      <w:jc w:val="center"/>
    </w:pPr>
    <w:rPr>
      <w:b/>
      <w:bCs/>
    </w:rPr>
  </w:style>
  <w:style w:type="character" w:styleId="749" w:customStyle="1">
    <w:name w:val="Нижний колонтитул Знак"/>
    <w:link w:val="746"/>
    <w:uiPriority w:val="99"/>
  </w:style>
  <w:style w:type="table" w:styleId="750">
    <w:name w:val="Table Grid"/>
    <w:basedOn w:val="723"/>
    <w:uiPriority w:val="39"/>
    <w:tblPr/>
  </w:style>
  <w:style w:type="table" w:styleId="7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12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712"/>
    <w:link w:val="881"/>
    <w:uiPriority w:val="99"/>
    <w:semiHidden/>
    <w:unhideWhenUsed/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712"/>
    <w:next w:val="712"/>
    <w:uiPriority w:val="39"/>
    <w:unhideWhenUsed/>
    <w:pPr>
      <w:spacing w:after="57"/>
    </w:pPr>
  </w:style>
  <w:style w:type="paragraph" w:styleId="884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85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86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87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88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89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90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91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2"/>
    <w:next w:val="712"/>
    <w:uiPriority w:val="99"/>
    <w:unhideWhenUsed/>
  </w:style>
  <w:style w:type="paragraph" w:styleId="894" w:customStyle="1">
    <w:name w:val="Название"/>
    <w:basedOn w:val="712"/>
    <w:link w:val="905"/>
    <w:qFormat/>
    <w:pPr>
      <w:jc w:val="center"/>
    </w:pPr>
    <w:rPr>
      <w:b/>
      <w:bCs/>
      <w:sz w:val="36"/>
      <w:szCs w:val="24"/>
    </w:rPr>
  </w:style>
  <w:style w:type="paragraph" w:styleId="895" w:customStyle="1">
    <w:name w:val="заголовок 4"/>
    <w:basedOn w:val="712"/>
    <w:next w:val="712"/>
    <w:pPr>
      <w:jc w:val="center"/>
      <w:keepNext/>
    </w:pPr>
    <w:rPr>
      <w:b/>
      <w:sz w:val="60"/>
      <w:szCs w:val="20"/>
    </w:rPr>
  </w:style>
  <w:style w:type="paragraph" w:styleId="896">
    <w:name w:val="Body Text Indent"/>
    <w:basedOn w:val="712"/>
    <w:semiHidden/>
    <w:pPr>
      <w:ind w:right="396" w:firstLine="840"/>
      <w:jc w:val="both"/>
      <w:tabs>
        <w:tab w:val="left" w:pos="7371" w:leader="none"/>
        <w:tab w:val="left" w:pos="8306" w:leader="none"/>
        <w:tab w:val="left" w:pos="9072" w:leader="none"/>
      </w:tabs>
    </w:pPr>
  </w:style>
  <w:style w:type="paragraph" w:styleId="897">
    <w:name w:val="Body Text 2"/>
    <w:basedOn w:val="712"/>
    <w:semiHidden/>
    <w:rPr>
      <w:b/>
      <w:sz w:val="24"/>
      <w:szCs w:val="20"/>
    </w:rPr>
  </w:style>
  <w:style w:type="paragraph" w:styleId="898">
    <w:name w:val="Body Text"/>
    <w:basedOn w:val="712"/>
    <w:link w:val="908"/>
    <w:pPr>
      <w:jc w:val="both"/>
    </w:pPr>
    <w:rPr>
      <w:bCs/>
      <w:szCs w:val="24"/>
    </w:rPr>
  </w:style>
  <w:style w:type="paragraph" w:styleId="899">
    <w:name w:val="Body Text Indent 2"/>
    <w:basedOn w:val="712"/>
    <w:semiHidden/>
    <w:pPr>
      <w:ind w:firstLine="700"/>
      <w:jc w:val="both"/>
    </w:pPr>
  </w:style>
  <w:style w:type="paragraph" w:styleId="900" w:customStyle="1">
    <w:name w:val="Обычный1"/>
    <w:rPr>
      <w:sz w:val="24"/>
      <w:lang w:eastAsia="ru-RU"/>
    </w:rPr>
  </w:style>
  <w:style w:type="paragraph" w:styleId="901" w:customStyle="1">
    <w:name w:val="заголовок 5"/>
    <w:basedOn w:val="712"/>
    <w:next w:val="712"/>
    <w:pPr>
      <w:jc w:val="both"/>
      <w:keepNext/>
    </w:pPr>
    <w:rPr>
      <w:szCs w:val="20"/>
    </w:rPr>
  </w:style>
  <w:style w:type="paragraph" w:styleId="902">
    <w:name w:val="Body Text Indent 3"/>
    <w:basedOn w:val="712"/>
    <w:semiHidden/>
    <w:pPr>
      <w:ind w:firstLine="720"/>
      <w:jc w:val="both"/>
    </w:pPr>
  </w:style>
  <w:style w:type="paragraph" w:styleId="903">
    <w:name w:val="Body Text 3"/>
    <w:basedOn w:val="712"/>
    <w:semiHidden/>
    <w:pPr>
      <w:jc w:val="both"/>
    </w:pPr>
  </w:style>
  <w:style w:type="character" w:styleId="904" w:customStyle="1">
    <w:name w:val="Заголовок 1 Знак"/>
    <w:link w:val="713"/>
    <w:rPr>
      <w:b/>
      <w:sz w:val="32"/>
    </w:rPr>
  </w:style>
  <w:style w:type="character" w:styleId="905" w:customStyle="1">
    <w:name w:val="Название Знак"/>
    <w:link w:val="894"/>
    <w:rPr>
      <w:b/>
      <w:bCs/>
      <w:sz w:val="36"/>
      <w:szCs w:val="24"/>
    </w:rPr>
  </w:style>
  <w:style w:type="paragraph" w:styleId="906">
    <w:name w:val="Balloon Text"/>
    <w:basedOn w:val="712"/>
    <w:link w:val="907"/>
    <w:uiPriority w:val="99"/>
    <w:semiHidden/>
    <w:unhideWhenUsed/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link w:val="906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908" w:customStyle="1">
    <w:name w:val="Основной текст Знак"/>
    <w:link w:val="898"/>
    <w:rPr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User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Пошибайлова</dc:creator>
  <cp:revision>6</cp:revision>
  <dcterms:created xsi:type="dcterms:W3CDTF">2024-02-26T09:57:00Z</dcterms:created>
  <dcterms:modified xsi:type="dcterms:W3CDTF">2024-02-27T05:36:29Z</dcterms:modified>
  <cp:version>1048576</cp:version>
</cp:coreProperties>
</file>