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spacing w:before="0" w:after="0" w:line="240" w:lineRule="auto"/>
        <w:ind w:left="0" w:right="0" w:firstLine="0"/>
        <w:jc w:val="right"/>
        <w:outlineLvl w:val="0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Приложение 6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right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к приказу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right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Департамента промышленности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right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Ханты-Мансийского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right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автономного округа - Югры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right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от 3 апреля 2023 года N 6-нп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left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9"/>
        <w:spacing w:before="0" w:after="0" w:line="240" w:lineRule="auto"/>
        <w:ind w:left="0" w:right="0" w:firstLine="0"/>
        <w:jc w:val="center"/>
      </w:pPr>
      <w:bookmarkStart w:id="0" w:name="undefined"/>
      <w:bookmarkEnd w:id="0"/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  <w:t xml:space="preserve">ПОРЯДОК</w:t>
      </w: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</w:r>
    </w:p>
    <w:p>
      <w:pPr>
        <w:pStyle w:val="819"/>
        <w:spacing w:before="0" w:after="0" w:line="240" w:lineRule="auto"/>
        <w:ind w:left="0" w:right="0" w:firstLine="0"/>
        <w:jc w:val="center"/>
      </w:pP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  <w:t xml:space="preserve">ПРЕДОСТАВЛЕНИЯ СУБСИДИИ НА ДОСТИЖЕНИЕ ПОКАЗАТЕЛЕЙ</w:t>
      </w: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</w:r>
    </w:p>
    <w:p>
      <w:pPr>
        <w:pStyle w:val="819"/>
        <w:spacing w:before="0" w:after="0" w:line="240" w:lineRule="auto"/>
        <w:ind w:left="0" w:right="0" w:firstLine="0"/>
        <w:jc w:val="center"/>
      </w:pP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  <w:t xml:space="preserve">ГОСУДАРСТВЕННОЙ ПРОГРАММЫ РОССИЙСКОЙ ФЕДЕРАЦИИ "РАЗВИТИЕ</w:t>
      </w: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</w:r>
    </w:p>
    <w:p>
      <w:pPr>
        <w:pStyle w:val="819"/>
        <w:spacing w:before="0" w:after="0" w:line="240" w:lineRule="auto"/>
        <w:ind w:left="0" w:right="0" w:firstLine="0"/>
        <w:jc w:val="center"/>
      </w:pP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  <w:t xml:space="preserve">ТУРИЗМА" (ИНЫЕ БЮДЖЕТНЫЕ АССИГНОВАНИЯ (СУБСИДИИ ЮРИДИЧЕСКИМ</w:t>
      </w: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</w:r>
    </w:p>
    <w:p>
      <w:pPr>
        <w:pStyle w:val="819"/>
        <w:spacing w:before="0" w:after="0" w:line="240" w:lineRule="auto"/>
        <w:ind w:left="0" w:right="0" w:firstLine="0"/>
        <w:jc w:val="center"/>
      </w:pP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  <w:t xml:space="preserve">ЛИЦАМ (КРОМЕ НЕКОММЕРЧЕСКИХ ОРГАНИЗАЦИЙ), ИНДИВИДУАЛЬНЫМ</w:t>
      </w: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</w:r>
    </w:p>
    <w:p>
      <w:pPr>
        <w:pStyle w:val="819"/>
        <w:spacing w:before="0" w:after="0" w:line="240" w:lineRule="auto"/>
        <w:ind w:left="0" w:right="0" w:firstLine="0"/>
        <w:jc w:val="center"/>
      </w:pP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  <w:t xml:space="preserve">ПРЕДПРИНИМАТЕЛЯМ, ФИЗИЧЕСКИМ ЛИЦАМ - ПРОИЗВОДИТЕЛЯМ</w:t>
      </w: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</w:r>
    </w:p>
    <w:p>
      <w:pPr>
        <w:pStyle w:val="819"/>
        <w:spacing w:before="0" w:after="0" w:line="240" w:lineRule="auto"/>
        <w:ind w:left="0" w:right="0" w:firstLine="0"/>
        <w:jc w:val="center"/>
      </w:pP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  <w:t xml:space="preserve">ТОВАРОВ, РАБОТ, УСЛУГ)</w:t>
      </w: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left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tbl>
      <w:tblPr>
        <w:tblStyle w:val="813"/>
        <w:tblW w:w="5000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tcW w:w="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ced3f1" w:fill="ced3f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</w: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</w:r>
          </w:p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4f3f8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</w: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</w:r>
          </w:p>
        </w:tc>
        <w:tc>
          <w:tcPr>
            <w:tcW w:w="992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4f3f8" w:fill="f4f3f8"/>
            <w:noWrap w:val="false"/>
            <w:tcMar>
              <w:left w:w="0" w:type="dxa"/>
              <w:top w:w="113" w:type="dxa"/>
              <w:right w:w="0" w:type="dxa"/>
              <w:bottom w:w="113" w:type="dxa"/>
            </w:tcMar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NewRoman" w:hAnsi="TimesNewRoman" w:eastAsia="TimesNewRoman" w:cs="TimesNewRoman"/>
                <w:color w:val="392c69"/>
                <w:sz w:val="24"/>
                <w:szCs w:val="24"/>
                <w:lang w:val="ru-RU" w:bidi="ru-RU"/>
              </w:rPr>
              <w:t xml:space="preserve">Список изменяющих документов</w:t>
            </w:r>
            <w:r>
              <w:rPr>
                <w:rFonts w:ascii="TimesNewRoman" w:hAnsi="TimesNewRoman" w:eastAsia="TimesNewRoman" w:cs="TimesNewRoman"/>
                <w:color w:val="392c69"/>
                <w:sz w:val="24"/>
                <w:szCs w:val="24"/>
                <w:lang w:val="ru-RU" w:bidi="ru-RU"/>
              </w:rPr>
            </w:r>
          </w:p>
          <w:p>
            <w:pPr>
              <w:pStyle w:val="818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NewRoman" w:hAnsi="TimesNewRoman" w:eastAsia="TimesNewRoman" w:cs="TimesNewRoman"/>
                <w:color w:val="392c69"/>
                <w:sz w:val="24"/>
                <w:szCs w:val="24"/>
                <w:lang w:val="ru-RU" w:bidi="ru-RU"/>
              </w:rPr>
              <w:t xml:space="preserve">(введен </w:t>
            </w:r>
            <w:hyperlink r:id="rId8" w:tooltip="https://login.consultant.ru/link/?req=doc&amp;base=RLAW926&amp;n=306523&amp;date=07.02.2025&amp;dst=100011&amp;field=134" w:history="1">
              <w:r>
                <w:rPr>
                  <w:rFonts w:ascii="TimesNewRoman" w:hAnsi="TimesNewRoman" w:eastAsia="TimesNewRoman" w:cs="TimesNewRoman"/>
                  <w:color w:val="0000ff"/>
                  <w:sz w:val="24"/>
                  <w:szCs w:val="24"/>
                  <w:lang w:val="ru-RU" w:bidi="ru-RU"/>
                </w:rPr>
                <w:t xml:space="preserve">приказом</w:t>
              </w:r>
            </w:hyperlink>
            <w:r>
              <w:rPr>
                <w:rFonts w:ascii="TimesNewRoman" w:hAnsi="TimesNewRoman" w:eastAsia="TimesNewRoman" w:cs="TimesNewRoman"/>
                <w:color w:val="392c69"/>
                <w:sz w:val="24"/>
                <w:szCs w:val="24"/>
                <w:lang w:val="ru-RU" w:bidi="ru-RU"/>
              </w:rPr>
              <w:t xml:space="preserve"> Деппромышленности Югры от 30.07.2024 N 11-нп;</w:t>
            </w:r>
            <w:r>
              <w:rPr>
                <w:rFonts w:ascii="TimesNewRoman" w:hAnsi="TimesNewRoman" w:eastAsia="TimesNewRoman" w:cs="TimesNewRoman"/>
                <w:color w:val="392c69"/>
                <w:sz w:val="24"/>
                <w:szCs w:val="24"/>
                <w:lang w:val="ru-RU" w:bidi="ru-RU"/>
              </w:rPr>
            </w:r>
          </w:p>
          <w:p>
            <w:pPr>
              <w:pStyle w:val="818"/>
              <w:spacing w:before="0" w:after="0" w:line="240" w:lineRule="auto"/>
              <w:ind w:left="0" w:right="0" w:firstLine="0"/>
              <w:jc w:val="center"/>
              <w:rPr>
                <w:rFonts w:ascii="TimesNewRoman" w:hAnsi="TimesNewRoman" w:eastAsia="TimesNewRoman" w:cs="TimesNewRoman"/>
                <w:color w:val="392c69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color w:val="392c69"/>
                <w:sz w:val="24"/>
                <w:szCs w:val="24"/>
                <w:lang w:val="ru-RU" w:bidi="ru-RU"/>
              </w:rPr>
              <w:t xml:space="preserve">в ред. </w:t>
            </w:r>
            <w:hyperlink r:id="rId9" w:tooltip="https://login.consultant.ru/link/?req=doc&amp;base=RLAW926&amp;n=312401&amp;date=07.02.2025&amp;dst=100482&amp;field=134" w:history="1">
              <w:r>
                <w:rPr>
                  <w:rFonts w:ascii="TimesNewRoman" w:hAnsi="TimesNewRoman" w:eastAsia="TimesNewRoman" w:cs="TimesNewRoman"/>
                  <w:color w:val="0000ff"/>
                  <w:sz w:val="24"/>
                  <w:szCs w:val="24"/>
                  <w:lang w:val="ru-RU" w:bidi="ru-RU"/>
                </w:rPr>
                <w:t xml:space="preserve">приказа</w:t>
              </w:r>
            </w:hyperlink>
            <w:r>
              <w:rPr>
                <w:rFonts w:ascii="TimesNewRoman" w:hAnsi="TimesNewRoman" w:eastAsia="TimesNewRoman" w:cs="TimesNewRoman"/>
                <w:color w:val="392c69"/>
                <w:sz w:val="24"/>
                <w:szCs w:val="24"/>
                <w:lang w:val="ru-RU" w:bidi="ru-RU"/>
              </w:rPr>
              <w:t xml:space="preserve"> Деппромышленности Югры от 08.11.2024 N 22-нп)</w:t>
            </w:r>
            <w:r>
              <w:rPr>
                <w:rFonts w:ascii="TimesNewRoman" w:hAnsi="TimesNewRoman" w:eastAsia="TimesNewRoman" w:cs="TimesNewRoman"/>
                <w:color w:val="392c69"/>
                <w:sz w:val="24"/>
                <w:szCs w:val="24"/>
                <w:lang w:val="ru-RU" w:bidi="ru-RU"/>
              </w:rPr>
            </w:r>
          </w:p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4f3f8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center"/>
              <w:rPr>
                <w:rFonts w:ascii="TimesNewRoman" w:hAnsi="TimesNewRoman" w:eastAsia="TimesNewRoman" w:cs="TimesNewRoman"/>
                <w:color w:val="392c69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color w:val="392c69"/>
                <w:sz w:val="24"/>
                <w:szCs w:val="24"/>
                <w:lang w:val="ru-RU" w:bidi="ru-RU"/>
              </w:rPr>
            </w:r>
            <w:r>
              <w:rPr>
                <w:rFonts w:ascii="TimesNewRoman" w:hAnsi="TimesNewRoman" w:eastAsia="TimesNewRoman" w:cs="TimesNewRoman"/>
                <w:color w:val="392c69"/>
                <w:sz w:val="24"/>
                <w:szCs w:val="24"/>
                <w:lang w:val="ru-RU" w:bidi="ru-RU"/>
              </w:rPr>
            </w:r>
          </w:p>
        </w:tc>
      </w:tr>
    </w:tbl>
    <w:p>
      <w:pPr>
        <w:pStyle w:val="818"/>
        <w:spacing w:before="0" w:after="0" w:line="240" w:lineRule="auto"/>
        <w:ind w:left="0" w:right="0" w:firstLine="0"/>
        <w:jc w:val="left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9"/>
        <w:spacing w:before="0" w:after="0" w:line="240" w:lineRule="auto"/>
        <w:ind w:left="0" w:right="0" w:firstLine="0"/>
        <w:jc w:val="center"/>
        <w:outlineLvl w:val="1"/>
      </w:pP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  <w:t xml:space="preserve">I. Общие положения</w:t>
      </w: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center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540"/>
        <w:jc w:val="both"/>
      </w:pPr>
      <w:bookmarkStart w:id="0" w:name="undefined"/>
      <w:bookmarkEnd w:id="0"/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1. Настоящий Порядок разработан в соответствии со </w:t>
      </w:r>
      <w:hyperlink r:id="rId10" w:tooltip="https://login.consultant.ru/link/?req=doc&amp;base=LAW&amp;n=466790&amp;date=07.02.2025&amp;dst=103395&amp;field=134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статьей 78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Бюджетного кодекса Российской Федерации, </w:t>
      </w:r>
      <w:hyperlink r:id="rId11" w:tooltip="https://login.consultant.ru/link/?req=doc&amp;base=LAW&amp;n=493653&amp;date=07.02.2025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Правительства Российской Федерации от 24 декабря 2021 года N 2439 "Об утверждении государственной программы Российской Федерации "Развитие туризма"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(далее -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государственная программа «Развитие туризма»)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, Методическими </w:t>
      </w:r>
      <w:hyperlink r:id="rId12" w:tooltip="https://login.consultant.ru/link/?req=doc&amp;base=LAW&amp;n=463851&amp;date=07.02.2025&amp;dst=100002&amp;field=134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рекомендациями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по организации в субъектах Российской Федерации деятельности в сфере развития туризма, утвержденными приказом Министерства экономического развития Российской Федерации от 22 января 2024 года N 27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(с изменениями от 14 мая 2025 года № 314)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, и регламентирует процедуру предоставления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в 2024 году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на условиях софинансирования из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федерального бюджета и бюджета Ханты-Мансийского автономного округа - Югры (далее также - автономный округ) субсидии на достижение показателей государственной программы Российской Федерации "Развитие туризма" юридическим лицам (кроме некоммерческих органи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заций), индивидуальным предпринимателям, физическим лицам - производителям товаров, работ, услуг (далее - Субсидия, заявитель, получатель Субсидии) на финансовое обеспечение затрат на реализацию проектов, направленных на развитие туристской инфраструктуры.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2. В настоящем Порядке используются понятия в значениях, указанных в Федеральном </w:t>
      </w:r>
      <w:hyperlink r:id="rId13" w:tooltip="https://login.consultant.ru/link/?req=doc&amp;base=LAW&amp;n=492068&amp;date=07.02.2025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законе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от 24 ноября 1996 года N 132-ФЗ "Об основах туристской деятельности в Российской Федерации", </w:t>
      </w:r>
      <w:hyperlink r:id="rId14" w:tooltip="https://login.consultant.ru/link/?req=doc&amp;base=LAW&amp;n=409150&amp;date=07.02.2025&amp;dst=100012&amp;field=134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Стратегии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развития туризма в Российской Федерации на период до 2035 года, утвержденной распоряжением Правительства Российской Федерации от 20 сентября 2019 года N 2129-р, а также следующие определения: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проекты - предложения заявителей по реализации в рамках определенного срока мероприятий на территории автономного округа, указанных в пункте 4 настоящего Порядка;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туристское оборудование - оборудование, снаряжение, инвентарь, экипировка, предназначенные для о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беспечения туристской деятельности, в том числе используемого в целях обеспечения эксплуатации туристских объектов, объектов туристского показа, туристских информационных центров, пунктов проката, включая детские комплексы, за исключением моторной техники.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3. Субсидия предоставляется заявителю в целях государственной поддержки проектов, направленных на развитие туристской инфраструктуры, в соответствии с региональным </w:t>
      </w:r>
      <w:hyperlink r:id="rId15" w:tooltip="https://login.consultant.ru/link/?req=doc&amp;base=RLAW926&amp;n=315287&amp;date=07.02.2025&amp;dst=114&amp;field=134" w:history="1">
        <w:r>
          <w:rPr>
            <w:rFonts w:ascii="TimesNewRoman" w:hAnsi="TimesNewRoman" w:eastAsia="TimesNewRoman" w:cs="TimesNewRoman"/>
            <w:strike/>
            <w:color w:val="0000ff"/>
            <w:sz w:val="24"/>
            <w:szCs w:val="24"/>
            <w:highlight w:val="yellow"/>
            <w:lang w:val="ru-RU" w:bidi="ru-RU"/>
          </w:rPr>
          <w:t xml:space="preserve">проектом</w:t>
        </w:r>
      </w:hyperlink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 "Развитие туристической инфраструктуры (Ханты-Мансийского автономного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округа - Югры)"  государственной программы автономного округа "Развитие промышленности и туризма", утвержденной постановлением Правительства автономного округа от 10 ноября 2023 года N 555-п тип мероприятия (результата) - оказание услуг (выполнение работ).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3. Субсидия предоставляется заявителю в целях достижения показателя «Количество туристических поездок по территории Российской Федерации» регионального проекта </w:t>
      </w:r>
      <w:r>
        <w:rPr>
          <w:rFonts w:ascii="TimesNewRoman" w:hAnsi="TimesNewRoman" w:eastAsia="TimesNewRoman" w:cs="TimesNewRoman"/>
          <w:b/>
          <w:bCs/>
          <w:color w:val="000000"/>
          <w:sz w:val="24"/>
          <w:szCs w:val="24"/>
          <w:highlight w:val="yellow"/>
          <w:lang w:val="ru-RU" w:bidi="ru-RU"/>
        </w:rPr>
        <w:t xml:space="preserve">«Создание номерного фонда, инфраструктуры и новых точек притяжения» (Ханты-Мансийский автономный округ – Югра)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государственной программы автономного округа «Развитие промышленности и туризма», утвержденной постановлением Правительства автономного округа от 10 ноября 2023 года № 555-п.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bookmarkStart w:id="0" w:name="undefined"/>
      <w:bookmarkEnd w:id="0"/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4. Субсидия предоставляется заявителю для финансового обеспечения затрат на реализацию проекта, которым предусматривается реализация следующих мероприятий: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4.1. Создание и (или) развитие пляжей на берегах рек, озер, водохранилищ или иных водных объектов, а также национальных туристских маршрутов, определенных в соответствии с </w:t>
      </w:r>
      <w:hyperlink r:id="rId16" w:tooltip="https://login.consultant.ru/link/?req=doc&amp;base=LAW&amp;n=435608&amp;date=07.02.2025&amp;dst=100009&amp;field=134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Правилами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определения национальных туристских маршрутов, утвержденными постановлением Правительства Российской Федерации от 29 ноября 2021 года N 2086 (далее - национальные туристские маршруты):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4.1.1. Мероприятия по созданию и (или) развитию пляжей на берегах рек, озер, водохранилищ или иных водных объектов направлены на: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bookmarkStart w:id="0" w:name="undefined"/>
      <w:bookmarkEnd w:id="0"/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4.1.1.1. Обустройство пляжа в соответствии с требованиями национального стандарта Российской Федерации ГОСТ Р 55698-2013 "Туристские услуги. Услуги пляжей. Общие требования", введенного в действие </w:t>
      </w:r>
      <w:hyperlink r:id="rId17" w:tooltip="https://login.consultant.ru/link/?req=doc&amp;base=LAW&amp;n=268196&amp;date=07.02.2025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приказом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Росстандарта от 8 ноября 2013 года N 1345-ст, за исключением берегозащитных, противооползневых и других защитных мероприятий, а также мероприятий по очистке дна акватории.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4.1.1.2. Приобретение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bookmarkStart w:id="0" w:name="undefined"/>
      <w:bookmarkEnd w:id="0"/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4.1.1.3. Обустройство детских и спортивных зон отдыха.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rFonts w:ascii="TimesNewRoman" w:hAnsi="TimesNewRoman" w:eastAsia="TimesNewRoman" w:cs="TimesNewRoman"/>
          <w:strike/>
          <w:sz w:val="24"/>
          <w:szCs w:val="24"/>
          <w:highlight w:val="yellow"/>
        </w:rPr>
      </w:pPr>
      <w:r>
        <w:rPr>
          <w:strike/>
          <w:highlight w:val="yellow"/>
        </w:rPr>
      </w:r>
      <w:bookmarkStart w:id="0" w:name="undefined"/>
      <w:r>
        <w:rPr>
          <w:strike/>
          <w:highlight w:val="yellow"/>
        </w:rPr>
      </w:r>
      <w:bookmarkEnd w:id="0"/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4.1.1.4. Создание пунктов общественного питания (некапитальное строительство).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b/>
          <w:bCs/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4.1.1.4.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Создание или приобретение, установка некапитальных объектов общественного питания (за исключением фургонов или специализированных автомобильных прицепов, оборудованных для приготовления, хранения и продажи готовой еды).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4.1.2. Мероприятия по созданию и (или) развитию национальных туристских маршрутов направлены на: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rFonts w:ascii="TimesNewRoman" w:hAnsi="TimesNewRoman" w:eastAsia="TimesNewRoman" w:cs="TimesNewRoman"/>
          <w:strike/>
          <w:sz w:val="24"/>
          <w:szCs w:val="24"/>
          <w:highlight w:val="red"/>
          <w:lang w:val="ru-RU" w:bidi="ru-RU"/>
        </w:rPr>
      </w:pPr>
      <w:r>
        <w:rPr>
          <w:rFonts w:ascii="TimesNewRoman" w:hAnsi="TimesNewRoman" w:eastAsia="TimesNewRoman" w:cs="TimesNewRoman"/>
          <w:strike w:val="0"/>
          <w:sz w:val="24"/>
          <w:szCs w:val="24"/>
          <w:highlight w:val="none"/>
          <w:lang w:val="ru-RU" w:bidi="ru-RU"/>
        </w:rPr>
        <w:t xml:space="preserve">4.1.2.1. Обустройство и модернизацию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туристских ресурсов в составе национального туристского маршрута (некапитальное строительство)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некапитальных туристских ресурсов в составе национального туристского маршрута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none"/>
          <w:lang w:val="ru-RU" w:bidi="ru-RU"/>
        </w:rPr>
        <w:t xml:space="preserve">, включая их адаптацию к потребностям лиц с ограниченными возможностями здоровья.</w:t>
      </w:r>
      <w:r>
        <w:rPr>
          <w:rFonts w:ascii="TimesNewRoman" w:hAnsi="TimesNewRoman" w:eastAsia="TimesNewRoman" w:cs="TimesNewRoman"/>
          <w:strike/>
          <w:sz w:val="24"/>
          <w:szCs w:val="24"/>
          <w:highlight w:val="red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4.1.2.2. Изготовление и установку элементов системы навигации национальных туристских маршрутов.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rFonts w:ascii="TimesNewRoman" w:hAnsi="TimesNewRoman" w:eastAsia="TimesNewRoman" w:cs="TimesNewRoman"/>
          <w:b/>
          <w:bCs/>
          <w:sz w:val="24"/>
          <w:szCs w:val="24"/>
          <w:highlight w:val="red"/>
          <w:lang w:val="ru-RU" w:bidi="ru-RU"/>
          <w14:ligatures w14:val="none"/>
        </w:rPr>
      </w:pPr>
      <w:bookmarkStart w:id="0" w:name="undefined"/>
      <w:bookmarkEnd w:id="0"/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4.1.2.3. Установку или обустройство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туристских информационных центров (формы некапитального строительства)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некапитальных туристских информационных центров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:lang w:val="ru-RU" w:bidi="ru-RU"/>
        </w:rPr>
        <w:t xml:space="preserve">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red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bookmarkStart w:id="0" w:name="undefined"/>
      <w:bookmarkEnd w:id="0"/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4.1.2.4. Приобретение и установку санитарных модулей.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4.2. Развитие инфраструктуры туризма в рамках проектов юридических лиц и индивидуальных предпринимателей: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4.2.1. Мероприятия по поддержке развития инфраструктуры туризма в рамках проектов юридических лиц и индивидуальных предпринимателей направлены на: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4.2.1.1. Разработку новых туристских маршрутов (включая маркировку, навигацию, обеспечение безопасности, организацию выделенных зон отдыха).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  <w:rPr>
          <w:rFonts w:ascii="TimesNewRoman" w:hAnsi="TimesNewRoman" w:eastAsia="TimesNewRoman" w:cs="TimesNewRoman"/>
          <w:strike/>
          <w:sz w:val="24"/>
          <w:szCs w:val="24"/>
          <w:highlight w:val="yellow"/>
        </w:rPr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4.2.1.2.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Приобретение туристского оборудования, в том числе используемого в целях обеспечения эксплуатации туристских объектов, объектов туристского показа, приобретение оборудования для туристских информационных центров, пунктов проката, включая детские комплексы.</w:t>
      </w:r>
      <w:r>
        <w:rPr>
          <w:highlight w:val="yellow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4.2.1.2.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</w:t>
      </w:r>
      <w:r>
        <w:rPr>
          <w:b/>
          <w:bCs/>
          <w:highlight w:val="yellow"/>
        </w:rPr>
        <w:t xml:space="preserve">риобретение туристского оборудования (не являющегося транспортным средством и его элементами), в том числе используемого в целях обеспечения эксплуатации и обустройства объектов туристской инфраструктуры и показа, туристских информационных центров, пунк</w:t>
      </w:r>
      <w:r>
        <w:rPr>
          <w:b/>
          <w:bCs/>
          <w:highlight w:val="yellow"/>
        </w:rPr>
        <w:t xml:space="preserve">тов проката, детских и спортивных комплексов, комнат матери и ребенка и пунктов телемедицины.</w:t>
      </w:r>
      <w:r>
        <w:rPr>
          <w:highlight w:val="yellow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bookmarkStart w:id="0" w:name="undefined"/>
      <w:bookmarkEnd w:id="0"/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4.2.1.3. Орга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низацию круглогодичного функционирования и расширение доступности плавательных бассейнов, в том числе приобретение систем подогрева, теплообменных устройств, а также приобретение мобильных погружных устройств для лиц с ограниченными возможностями здоровья.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4.2.1.4. Создание электронных путеводителей по туристским маршрутам, в том числе мобильных приложений и аудиогидов.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bookmarkStart w:id="0" w:name="undefined"/>
      <w:bookmarkEnd w:id="0"/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4.2.1.5. Реализацию проектов, направленных на создание и развитие доступной туристской среды для лиц с ограниченными возмо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жностями здоровья, стимулирование развития инклюзивного туризма, в том числе оборудование пандусов, подъемников, адаптационные работы и иные мероприятия по созданию безбарьерной среды, среды для лиц с ограниченными возможностями здоровья по зрению и слуху.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  <w:rPr>
          <w:rFonts w:ascii="TimesNewRoman" w:hAnsi="TimesNewRoman" w:eastAsia="TimesNewRoman" w:cs="TimesNewRoman"/>
          <w:sz w:val="24"/>
          <w:szCs w:val="24"/>
          <w:highlight w:val="none"/>
          <w:lang w:val="ru-RU" w:bidi="ru-RU"/>
        </w:rPr>
      </w:pPr>
      <w:bookmarkStart w:id="0" w:name="undefined"/>
      <w:bookmarkEnd w:id="0"/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4.3. Создание некапитальной нестационарной причальной инфраструктуры.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uppressLineNumbers w:val="0"/>
        <w:spacing w:before="198" w:after="0" w:line="240" w:lineRule="auto"/>
        <w:ind w:left="0" w:right="0" w:firstLine="540"/>
        <w:contextualSpacing/>
        <w:jc w:val="both"/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14:ligatures w14:val="none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4.4.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Создание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некапитальных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объектов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туристской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инфраструктуры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в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автономном округе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вблизи автомобильных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дорог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федерального,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регионального,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межмуниципального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и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местного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значения в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составе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автомобильных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туристских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маршрутов,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утвержденных Департаментом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в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соответствии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с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пунктом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19(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2)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Правил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предоставления 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«Развитие туризма»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(далее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соответственно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–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Правила,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некапитальные объекты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туристской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инфраструктуры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вблизи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автомобильных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дорог, утвержденные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ATM):</w:t>
      </w:r>
      <w:r>
        <w:rPr>
          <w:highlight w:val="yellow"/>
        </w:rPr>
      </w:r>
    </w:p>
    <w:p>
      <w:pPr>
        <w:pStyle w:val="818"/>
        <w:suppressLineNumbers w:val="0"/>
        <w:spacing w:before="198" w:after="0" w:line="240" w:lineRule="auto"/>
        <w:ind w:left="0" w:right="0" w:firstLine="540"/>
        <w:contextualSpacing/>
        <w:jc w:val="both"/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14:ligatures w14:val="none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4.4.1.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Создание или приобретение, установку элементов систем навигации, а также обеспечение брендирования автомобильного туристского маршрута, создание единого дизайн-кода.</w:t>
      </w:r>
      <w:r>
        <w:rPr>
          <w:highlight w:val="yellow"/>
        </w:rPr>
      </w:r>
    </w:p>
    <w:p>
      <w:pPr>
        <w:pStyle w:val="818"/>
        <w:suppressLineNumbers w:val="0"/>
        <w:spacing w:before="198" w:after="0" w:line="240" w:lineRule="auto"/>
        <w:ind w:left="0" w:right="0" w:firstLine="540"/>
        <w:contextualSpacing/>
        <w:jc w:val="both"/>
        <w:rPr>
          <w:rFonts w:ascii="TimesNewRoman" w:hAnsi="TimesNewRoman" w:eastAsia="TimesNewRoman" w:cs="TimesNewRoman"/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4.4.2.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оздание или установку некапитальных туристских информационных центров, а также точек продажи региональной продукции (за исключением приобретения и производства продукции, включая сувениры и изделия народных художественных промыслов), которые могут быть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расположены в составе многофункциональных зон дорожного сервиса и площадок отдыха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.</w:t>
      </w:r>
      <w:r>
        <w:rPr>
          <w:highlight w:val="yellow"/>
        </w:rPr>
      </w:r>
    </w:p>
    <w:p>
      <w:pPr>
        <w:pStyle w:val="818"/>
        <w:suppressLineNumbers w:val="0"/>
        <w:spacing w:before="198" w:after="0" w:line="240" w:lineRule="auto"/>
        <w:ind w:left="0" w:right="0" w:firstLine="540"/>
        <w:contextualSpacing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4.4.3.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Создание или приобретение, установку некапитальных объектов общественного питания (за исключением фургонов или специализированных автомобильных приц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епов, оборудованных для приготовления, хранения и продажи готовой еды), которые могут быть расположены в с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оставе многофункциональных зон дорожного сервиса и площадок отдыха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.</w:t>
      </w:r>
      <w:r>
        <w:rPr>
          <w:highlight w:val="yellow"/>
        </w:rPr>
      </w:r>
    </w:p>
    <w:p>
      <w:pPr>
        <w:pStyle w:val="818"/>
        <w:suppressLineNumbers w:val="0"/>
        <w:spacing w:before="198" w:after="0" w:line="240" w:lineRule="auto"/>
        <w:ind w:left="0" w:right="0" w:firstLine="540"/>
        <w:contextualSpacing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4.4.4.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 Создание или приобретение, установку объектов кемпинг-размещения, кемпстоянок, иавесных конструкций для транспортных средств, а также приобретение кемпинговых палаток и других видов оборудования, используемого для организации пребывания (ночлега), включа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ющих обустройство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системы визуальной информации и навигации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.</w:t>
      </w:r>
      <w:r>
        <w:rPr>
          <w:highlight w:val="yellow"/>
        </w:rPr>
      </w:r>
    </w:p>
    <w:p>
      <w:pPr>
        <w:pStyle w:val="818"/>
        <w:suppressLineNumbers w:val="0"/>
        <w:spacing w:before="198" w:after="0" w:line="240" w:lineRule="auto"/>
        <w:ind w:left="0" w:right="0" w:firstLine="540"/>
        <w:contextualSpacing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4.4.5.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 Приобретение туристского оборудования (не являющегося транспортным средством и его элементами), в том числе используемого в целях обеспечения эксплуатации и обустройства объектов туристской инфраструктуры и показа, туристских информационных центров, пунк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тов проката, детских и спортивных комплексов, комнат матери и ребенка и пунктов телемедицины, в том числе в целях обеспечения функционирования многофункциональных зон дорожного сервиса и площадок отдыха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.</w:t>
      </w:r>
      <w:r>
        <w:rPr>
          <w:highlight w:val="yellow"/>
        </w:rPr>
      </w:r>
    </w:p>
    <w:p>
      <w:pPr>
        <w:pStyle w:val="818"/>
        <w:suppressLineNumbers w:val="0"/>
        <w:spacing w:before="198" w:after="0" w:line="240" w:lineRule="auto"/>
        <w:ind w:left="0" w:right="0" w:firstLine="540"/>
        <w:contextualSpacing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4.4.6.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 Создание электронных путеводителей по автомобильным туристским маршрутам, в том числе мобильных приложений и аудиогидов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.</w:t>
      </w:r>
      <w:r>
        <w:rPr>
          <w:highlight w:val="yellow"/>
        </w:rPr>
      </w:r>
    </w:p>
    <w:p>
      <w:pPr>
        <w:pStyle w:val="818"/>
        <w:suppressLineNumbers w:val="0"/>
        <w:spacing w:before="198" w:after="0" w:line="240" w:lineRule="auto"/>
        <w:ind w:left="0" w:right="0" w:firstLine="540"/>
        <w:contextualSpacing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4.4.7.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 Создание или приобретение, установку некапитальных спортивных площадок, санитарных модулей, модульных прачечных и душевых комнат, модульных комнат матери и ребенка и пунктов телемедицины в составе многофункциональных зон дорожного сервиса и площадок отды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ха, а также оборудования к ним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.</w:t>
      </w:r>
      <w:r>
        <w:rPr>
          <w:highlight w:val="yellow"/>
        </w:rPr>
      </w:r>
    </w:p>
    <w:p>
      <w:pPr>
        <w:pStyle w:val="818"/>
        <w:suppressLineNumbers w:val="0"/>
        <w:spacing w:before="198" w:after="0" w:line="240" w:lineRule="auto"/>
        <w:ind w:left="0" w:right="0" w:firstLine="540"/>
        <w:contextualSpacing/>
        <w:jc w:val="both"/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14:ligatures w14:val="none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4.4.8.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 Создание и развитие доступной туристской среды для лиц с ограниченными возможностями здоровья, стимулирование развития инклюзивного туризма, в том числе оборудование пандусов, подъемников, адаптационные работы и иные проекты по созданию безбарьерной сред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  <w14:ligatures w14:val="none"/>
        </w:rPr>
        <w:t xml:space="preserve">ы, среды для лиц с ограниченными возможностями здоровья по зрению и слуху в составе многофункциональных зон дорожного сервиса и площадок отдыха.</w:t>
      </w:r>
      <w:r>
        <w:rPr>
          <w:highlight w:val="yellow"/>
        </w:rPr>
      </w:r>
    </w:p>
    <w:p>
      <w:pPr>
        <w:pStyle w:val="818"/>
        <w:suppressLineNumbers w:val="0"/>
        <w:spacing w:before="198" w:after="0" w:line="240" w:lineRule="auto"/>
        <w:ind w:left="0" w:right="0" w:firstLine="540"/>
        <w:contextualSpacing/>
        <w:jc w:val="both"/>
        <w:rPr>
          <w:rFonts w:ascii="TimesNewRoman" w:hAnsi="TimesNewRoman" w:eastAsia="TimesNewRoman" w:cs="TimesNewRoman"/>
          <w:b/>
          <w:bCs/>
          <w:sz w:val="24"/>
          <w:szCs w:val="24"/>
          <w:highlight w:val="red"/>
          <w:lang w:val="ru-RU" w:bidi="ru-RU"/>
          <w14:ligatures w14:val="none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red"/>
          <w:lang w:val="ru-RU" w:bidi="ru-RU"/>
          <w14:ligatures w14:val="none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red"/>
          <w:lang w:val="ru-RU" w:bidi="ru-RU"/>
          <w14:ligatures w14:val="none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5. Субсидию предоставляет Департамент промышленности Ханты-Мансийского автономного округа - Югры (далее - Департамент), осуществля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ющий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на 2024 год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на цель, указанную в пункте 3 настоящего Порядка.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6. Информация о Субсидии разм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ещается на едином портале бюджетной системы Российской Федерации в информационно-телекоммуникационной сети "Интернет" (далее - единый портал, сеть "Интернет") (в разделе единого портала) в порядке, установленном Министерством финансов Российской Федерации.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7. Субсидия предоставляется по результатам отбора, проводимого Департаментом в форме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конкурса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запроса предложений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(далее - отбор), осуществляемого в соответствии с </w:t>
      </w:r>
      <w:hyperlink r:id="rId18" w:tooltip="https://login.consultant.ru/link/?req=doc&amp;base=LAW&amp;n=491830&amp;date=07.02.2025&amp;dst=100021&amp;field=134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Правилами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отбора получателей субсидий, в том числе грантов в форме субсидий, предоставляемых из бюджетов бюджетной системы Ро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N 1781 (далее - Правила отбора).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8. Департамент в течение 10 (десяти) рабочих дней со дня утверждения настоящего Порядка либо следующего за днем доведения до Департамента бюджетных ассигнований на соответствующий финансовый год и плановый период на предоставление С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убсидии, указанной в пункте 1 настоящего Порядка, размещает в информационной системе управления общественными финансами "Электронный бюджет" в сети "Интернет" (далее - система "Электронный бюджет"), а также на своем официальном сайте (www.depprom.admhmao.r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u) в разделе "Деятельность/Управление туризма/Предоставление субсидий в сфере туризма" и тематическом сайте (www.tourism.admhmao.ru) в разделе "Государственная поддержка туризма" объявление о проведении отбора, которое содержит информацию, предусмотренную </w:t>
      </w:r>
      <w:hyperlink r:id="rId19" w:tooltip="https://login.consultant.ru/link/?req=doc&amp;base=LAW&amp;n=490805&amp;date=07.02.2025&amp;dst=100157&amp;field=134" w:history="1">
        <w:r>
          <w:rPr>
            <w:rFonts w:ascii="TimesNewRoman" w:hAnsi="TimesNewRoman" w:eastAsia="TimesNewRoman" w:cs="TimesNewRoman"/>
            <w:strike/>
            <w:color w:val="0000ff"/>
            <w:sz w:val="24"/>
            <w:szCs w:val="24"/>
            <w:highlight w:val="yellow"/>
            <w:lang w:val="ru-RU" w:bidi="ru-RU"/>
          </w:rPr>
          <w:t xml:space="preserve">пунктом 21</w:t>
        </w:r>
      </w:hyperlink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ительства Российской Федерации от 25 октября 2023 года N 1782 (далее - Общие требования), включая критерии оценки проектов, перечень документов, предоставляемых заявителем для подтверждения соответствия требованиям к заявителям и критериям оценки проектов.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Формирование и размещение объявления об отборе осуществляется в соответствии с </w:t>
      </w:r>
      <w:hyperlink r:id="rId20" w:tooltip="https://login.consultant.ru/link/?req=doc&amp;base=LAW&amp;n=491830&amp;date=07.02.2025&amp;dst=100104&amp;field=134" w:history="1">
        <w:r>
          <w:rPr>
            <w:rFonts w:ascii="TimesNewRoman" w:hAnsi="TimesNewRoman" w:eastAsia="TimesNewRoman" w:cs="TimesNewRoman"/>
            <w:strike/>
            <w:color w:val="0000ff"/>
            <w:sz w:val="24"/>
            <w:szCs w:val="24"/>
            <w:highlight w:val="yellow"/>
            <w:lang w:val="ru-RU" w:bidi="ru-RU"/>
          </w:rPr>
          <w:t xml:space="preserve">разделом III</w:t>
        </w:r>
      </w:hyperlink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 Правил отбора.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8. Формирование и размещение объявления об отборе Департаментом осуществляется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в информационной системе управления общественными финансами «Электронный бюджет» в сети «Интернет» (далее - система «Электронный бюджет»), а также на официальном сайте (www.tourism.admhmao.ru) в разделе «Государственная поддержка туризма» в соответствии с </w:t>
      </w:r>
      <w:hyperlink r:id="rId21" w:tooltip="https://login.consultant.ru/link/?req=doc&amp;base=LAW&amp;n=491830&amp;date=07.02.2025&amp;dst=100104&amp;field=134" w:history="1">
        <w:r>
          <w:rPr>
            <w:rFonts w:ascii="TimesNewRoman" w:hAnsi="TimesNewRoman" w:eastAsia="TimesNewRoman" w:cs="TimesNewRoman"/>
            <w:b/>
            <w:bCs/>
            <w:color w:val="0000ff"/>
            <w:sz w:val="24"/>
            <w:szCs w:val="24"/>
            <w:highlight w:val="yellow"/>
            <w:lang w:val="ru-RU" w:bidi="ru-RU"/>
          </w:rPr>
          <w:t xml:space="preserve">разделом III</w:t>
        </w:r>
      </w:hyperlink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Правил отбора. 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center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9"/>
        <w:spacing w:before="0" w:after="0" w:line="240" w:lineRule="auto"/>
        <w:ind w:left="0" w:right="0" w:firstLine="0"/>
        <w:jc w:val="center"/>
        <w:outlineLvl w:val="1"/>
      </w:pP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  <w:t xml:space="preserve">II. Условия и порядок предоставления Субсидии</w:t>
      </w: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center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540"/>
        <w:jc w:val="both"/>
      </w:pPr>
      <w:bookmarkStart w:id="0" w:name="undefined"/>
      <w:bookmarkEnd w:id="0"/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9. Заявитель на даты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подачи заявки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рассмотрения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заявки на участие в отборе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(далее – заявка)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и заключения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Соглашения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соглашения о предоставлении Субсидии (далее – Соглашение)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должен соответствовать следующим требованиям: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не являться иностранным юридическим лицом, в том числе местом регистрации которого является гос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установлено законодательством Российской Федерации). При расчет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е доли участия офшорных компаний в уставном (складочном)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br/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не получать средства из бюджета автономного округа на основании иных нормативных правовых актов автономного округа, актов муниципальных образований на цель, указанную в пункте 1 настоящего Порядка;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не получать средства из федерального бюджета, бюджета автономного округа, бюджетов иных субъектов Российской Федерации, местных бюджетов, на основани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и нормативных правовых актов Российской Федерации, нормативных правовых актов автономного округа, иных субъектов Российской Федерации, муниципальных правовых актов, решений о порядке предоставления субсидий на цель, указанную в пункте 3 настоящего Порядка;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не являться иностранным агентом в соответствии с Федеральным </w:t>
      </w:r>
      <w:hyperlink r:id="rId22" w:tooltip="https://login.consultant.ru/link/?req=doc&amp;base=LAW&amp;n=483137&amp;date=07.02.2025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законом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от 14 июля 2022 года N 255-ФЗ "О контроле за деятельностью лиц, находящихся под иностранным влиянием";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не находиться в составляемых в рамках реализации полномочий, предусмотренных </w:t>
      </w:r>
      <w:hyperlink r:id="rId23" w:tooltip="https://login.consultant.ru/link/?req=doc&amp;base=LAW&amp;n=121087&amp;date=07.02.2025&amp;dst=100142&amp;field=134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главой VII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Ус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не иметь просроченной задолженности по возврату в бюджет автономного округа иных субсидий, бюджетных инвестиций, а также иной просроченной (неурегулированной) задолженности по денежным обязательствам перед автономным округом иных субс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идий, бюджетных инвестиций, а также иной просроченной (неурегулированной) задолженности по денежным обязательствам перед публично-правовым образованием из бюджета автономного округа (за исключением случаев, установленных Правительством автономного округа);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9.1. Заявитель на дату подачи заявки должен соответствовать следующим требованиям: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на едином налоговом счете у заявителя отсутствует или не превышает размер, определенный </w:t>
      </w:r>
      <w:hyperlink r:id="rId24" w:tooltip="https://login.consultant.ru/link/?req=doc&amp;base=LAW&amp;n=483130&amp;date=07.02.2025&amp;dst=5769&amp;field=134" w:history="1">
        <w:r>
          <w:rPr>
            <w:rFonts w:ascii="TimesNewRoman" w:hAnsi="TimesNewRoman" w:eastAsia="TimesNewRoman" w:cs="TimesNewRoman"/>
            <w:strike/>
            <w:color w:val="0000ff"/>
            <w:sz w:val="24"/>
            <w:szCs w:val="24"/>
            <w:highlight w:val="yellow"/>
            <w:lang w:val="ru-RU" w:bidi="ru-RU"/>
          </w:rPr>
          <w:t xml:space="preserve">пунктом 3 статьи 47</w:t>
        </w:r>
      </w:hyperlink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  <w:r>
        <w:rPr>
          <w:rFonts w:ascii="TimesNewRoman" w:hAnsi="TimesNewRoman" w:eastAsia="TimesNewRoman" w:cs="TimesNewRoman"/>
          <w:strike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юридические лица не находятся в процессе реорганизации (за исключением реорганизации в форме присоединения к заявителю другого юридического лица), ликвидации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Федерации, а индивидуальные предприниматели не прекратили деятельность в качестве индивидуальных предпринимателей;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не иметь в реестре дисквалифицированных лиц сведений о д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 (при наличии), являющегося юридическим лицом, об индивидуальном предпринимателе;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9.2. Иные требования, </w:t>
      </w:r>
      <w:r>
        <w:rPr>
          <w:rFonts w:ascii="TimesNewRoman" w:hAnsi="TimesNewRoman" w:eastAsia="TimesNewRoman" w:cs="TimesNewRoman"/>
          <w:b/>
          <w:bCs/>
          <w:color w:val="000000"/>
          <w:sz w:val="24"/>
          <w:szCs w:val="24"/>
          <w:highlight w:val="yellow"/>
          <w:lang w:val="ru-RU" w:bidi="ru-RU"/>
        </w:rPr>
        <w:t xml:space="preserve">необходимые для достижения результата предоставления Субсидии,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которым должен соответствовать заявитель на дату подачи заявки: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находиться на налоговом учете и осуществлять деятельность на территории автономного округа в соответствии со следующими видами и группировками экономической деятельности согласно Общероссийскому </w:t>
      </w:r>
      <w:hyperlink r:id="rId25" w:tooltip="https://login.consultant.ru/link/?req=doc&amp;base=LAW&amp;n=495920&amp;date=07.02.2025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классификатору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видов экономической деятельности ОК 029-2014 (КДЕС РЕД. 2), утвержденному приказом Федерального агентства по техническому регулированию и метрологии от 31 января 2014 года N 14-ст: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tbl>
      <w:tblPr>
        <w:tblStyle w:val="813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6"/>
        <w:gridCol w:w="2098"/>
        <w:gridCol w:w="6350"/>
      </w:tblGrid>
      <w:tr>
        <w:trPr/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center"/>
              <w:rPr>
                <w:rFonts w:ascii="TimesNewRoman" w:hAnsi="TimesNewRoman" w:eastAsia="TimesNewRoman" w:cs="TimesNewRoman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  <w:t xml:space="preserve">N п/п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center"/>
              <w:rPr>
                <w:rFonts w:ascii="TimesNewRoman" w:hAnsi="TimesNewRoman" w:eastAsia="TimesNewRoman" w:cs="TimesNewRoman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  <w:t xml:space="preserve">Код группировок видов экономической деятельности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center"/>
              <w:rPr>
                <w:rFonts w:ascii="TimesNewRoman" w:hAnsi="TimesNewRoman" w:eastAsia="TimesNewRoman" w:cs="TimesNewRoman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  <w:t xml:space="preserve">Вид экономической деятельности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</w:r>
          </w:p>
        </w:tc>
      </w:tr>
      <w:tr>
        <w:trPr/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  <w:t xml:space="preserve">1.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  <w:t xml:space="preserve">55.1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  <w:t xml:space="preserve">Деятельность гостиниц и прочих мест для временного проживания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</w:r>
          </w:p>
        </w:tc>
      </w:tr>
      <w:tr>
        <w:trPr/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  <w:t xml:space="preserve">2.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  <w:t xml:space="preserve">55.2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  <w:t xml:space="preserve">Деятельность по предоставлению мест для краткосрочного проживания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</w:r>
          </w:p>
        </w:tc>
      </w:tr>
      <w:tr>
        <w:trPr/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highlight w:val="yellow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  <w:t xml:space="preserve">3.</w:t>
            </w: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highlight w:val="yellow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  <w:t xml:space="preserve">56.10.1</w:t>
            </w: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highlight w:val="yellow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  <w:t xml:space="preserve">Деятельность ресторанов и кафе с полным обслуживанием, кафетериев, ресторанов быстрого питания и самообслуживания</w:t>
            </w: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</w:r>
          </w:p>
        </w:tc>
      </w:tr>
      <w:tr>
        <w:trPr/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highlight w:val="yellow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  <w:t xml:space="preserve">4.</w:t>
            </w: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highlight w:val="yellow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  <w:t xml:space="preserve">77.21</w:t>
            </w: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highlight w:val="yellow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  <w:t xml:space="preserve">Прокат и аренда товаров для отдыха и спортивных товаров</w:t>
            </w: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</w:r>
          </w:p>
        </w:tc>
      </w:tr>
      <w:tr>
        <w:trPr/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highlight w:val="yellow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  <w:t xml:space="preserve">5.</w:t>
            </w: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highlight w:val="yellow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  <w:t xml:space="preserve">79</w:t>
            </w: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highlight w:val="yellow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  <w:t xml:space="preserve">Деятельность туристических агентств и прочих организаций, предоставляющих услуги в сфере туризма</w:t>
            </w:r>
            <w:r>
              <w:rPr>
                <w:rFonts w:ascii="TimesNewRoman" w:hAnsi="TimesNewRoman" w:eastAsia="TimesNewRoman" w:cs="TimesNewRoman"/>
                <w:strike/>
                <w:sz w:val="24"/>
                <w:szCs w:val="24"/>
                <w:highlight w:val="yellow"/>
                <w:lang w:val="ru-RU" w:bidi="ru-RU"/>
              </w:rPr>
            </w:r>
          </w:p>
        </w:tc>
      </w:tr>
      <w:tr>
        <w:trPr/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  <w:t xml:space="preserve">6.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  <w:t xml:space="preserve">86.90.4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18"/>
              <w:spacing w:before="0" w:after="0" w:line="240" w:lineRule="auto"/>
              <w:ind w:left="0" w:right="0" w:firstLine="0"/>
              <w:jc w:val="left"/>
              <w:rPr>
                <w:rFonts w:ascii="TimesNewRoman" w:hAnsi="TimesNewRoman" w:eastAsia="TimesNewRoman" w:cs="TimesNewRoman"/>
                <w:lang w:val="ru-RU" w:bidi="ru-RU"/>
              </w:rPr>
            </w:pP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  <w:t xml:space="preserve">Деятельность санаторно-курортных организаций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lang w:val="ru-RU" w:bidi="ru-RU"/>
              </w:rPr>
            </w:r>
          </w:p>
        </w:tc>
      </w:tr>
    </w:tbl>
    <w:p>
      <w:pPr>
        <w:pStyle w:val="818"/>
        <w:spacing w:before="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lang w:val="ru-RU" w:bidi="ru-RU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проект заявителя соответствует цели предоставления Субсидии, указанной в пункте 3 настоящего Порядка;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мероприятия, реализация которых планируется в рамках проекта заявителя, соответствуют мероприятиям, установленным пунктом 4 настоящего Порядка;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проект способствует достижению </w:t>
      </w:r>
      <w:r>
        <w:rPr>
          <w:rFonts w:ascii="TimesNewRoman" w:hAnsi="TimesNewRoman" w:eastAsia="TimesNewRoman" w:cs="TimesNewRoman"/>
          <w:b/>
          <w:bCs/>
          <w:color w:val="000000"/>
          <w:sz w:val="24"/>
          <w:szCs w:val="24"/>
          <w:highlight w:val="yellow"/>
          <w:lang w:val="ru-RU" w:bidi="ru-RU"/>
        </w:rPr>
        <w:t xml:space="preserve">результата предоставления Субсидии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иметь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на праве владения либо пользования земельный участок, на котором планируется реализация проекта, указанного в подпунктах 4.1.1.1, 4.1.1.3, 4.1.1.4, 4.1.2.3, 4.1.2.4, 4.2.1.3, 4.2.1.5, 4.3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,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4.4.2 - 4.4.4, 4.4.7, 4.4.8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пункта 4 настоящего Порядка.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9.3. У Заявителя на едином налоговом счете отсутствует или н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е превышает размер, определенный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на дату формирования справки территориальным органом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Федеральной налоговой службы, представленной в соответствии с абзацем вторым подпункта 9.4.4 пункта 9 настоящего Положения, или на дату формирования информации, запрашиваемой Департаментом в соответствии с подпунктом 9.6.1.1 пункта 9 настоящего Положения.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9.4. Перечень документов, представляемых заяв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ителем в период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приема заявления и документов на участие в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отборе в целях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подтверждения соответствия заявителя требованиям, указанным: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9.4.1. В пункте 9 Порядка: 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справка на даты рассмотрения заявки и заключения соглашения, подписанная руководителем заявителя, или иным лицом, уполномоченным надлежащим образом, о неполучении средств из федерального бюджета, бюджетов иных субъектов Российской Федерации, местных б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юджетов, на основании нормативных правовых актов Российской Федерации, нормативных правовых актов иных субъектов Российской Федерации, муниципальных правовых актов, решений о порядке предоставления субсидий на цель, указанную в пункте 3 настоящего Порядка;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документ, выданный держателем реестра владельцев ценных бумаг акционерного общества на дату не ранее чем за 30 календарных дней до дня подачи заявки, о размере доли в уставном капитале заявителя офшорных компаний, местом регистрации кото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(для акционерных обществ);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справка на даты рассмотрения заявки и заключения соглашения, подписанная руководителем заявителя, или иным лицом, уполномоченным надлежащим образом, о просроченной задолжен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ности по возврату в бюджет автономного округа субсидий, бюджетных инвестиций, а также иной просроченной (неурегулированной) задолженности по денежным обязательствам перед автономным округом по форме, установленной Департаментом финансов автономного округа.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9.4.2. В подпункте 9.1 пункта 9 настоящего Порядка: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сведения (фамилия, имя отчество, ИНН) на дату подачи заявки о членах коллегиального исполнительного органа, лице, исполняющем функции единоличного исполнительного органа, или главном бухгалтере заявителя (при наличии);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согласие на дату подачи заявки на обработку персональных данных руководителя, членов коллегиального исполнительного органа, лица, исполняющем функции едино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личного исполнительного органа, или главного бухгалтера (при наличии) заявителя, являющегося юридическим лицом, индивидуального предпринимателя, главного бухгалтера индивидуального предпринимателя (при наличии) по форме, утвержденной приказом Департамента.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9.4.3. В подпункте 9.2 пункта 9 настоящего Порядка: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сведения о плановой численности размещенных лиц в средстве размещения в году, в котором планируется получение Субсидии, по форме, установленной Департаментом;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план расходов на реализацию проекта с учетом затрат на доставку, установку с приложением не менее 3 (трех) коммерческих предложений либо изображений страниц с ценами на официальных сайтах поставщиков товаров и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услуг в сети «Интернет»;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презентация проекта (в форматах .pptx, и .pdf) в соответствии с рекомендациями, утвержденными Департаментом;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копия документации, в которую входят чертежи с указанием размера помещений, их планировки, схемы и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карта расположения объекта, разработанная согласно обязательствам, предусмотренным техническими условиями, – для мероприятий по некапитальному строительству, приобретению и установке модульных объектов некапитального строительства заводского производства;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копии документ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ов, подтверждающих наличие на праве владения либо пользования земельного(ых) участка(ов), на котором(ых) планируется реализация проекта, указанного в подпунктах 4.1.1.1, 4.1.1.3, 4.1.1.4, 4.1.2.3, 4.1.2.4, 4.2.1.3, 4.2.1.5, 4.3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,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4.4.2 - 4.4.4, 4.4.7, 4.4.8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пункта 4 настоящего Порядка;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копии правоустанавливающих документов на объекты недвижимости, указанные в заявке, за исключением объектов, не подлежащих внесению в Единый государственный реестр недвижимости;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согласование ФБУ «Администрация Обь-Иртышского бассейна внутренних водных путей» для проектов по установке некапитальной нестационарной причальной инфраструктуры на внутренних водных путях Российской Федерации;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согласование органа местного самоуправления автономного округа для проектов, планируемых к реализации на земельных участках, собственником которых является муниципальное обра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зование автономного округа, для мероприятий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, указанным в пунктах 4.1.1, 4.3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, 4.4.1-4.4.4, 4.4.7, 4.4.8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настоящего Порядка;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копия разрешительного документа, предоставляющего право пользования поверхностны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ми водными объектами или их частями в соответствии с статьей 11 Водного кодекса Российской Федерации, за исключением случаев, установленных частью 2 Статьи 8 Водного кодекса Российской Федерации, для мероприятия, указанного в пункте 4.3 настоящего Порядка;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копия доверенности на осуществление действий от имени заявителя, подписанная руководителем (для юридического лица) или уполномоченным руководителем лицом с печатью заявителя (при наличии печати), либо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засвидетельствованная в нотариальном порядке копия доверенности (в случае, если от имени заявителя действует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иное лицо).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9.4.4. В подпункте 9.3 пункта 9 настоящего Порядка: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справка о наличии положительного, отри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цательного или нулевого сальдо единого налогового счета налогоплательщика, плательщика сбора, плательщика страховых взносов или налогового агента, выданной территориальным органом Федеральной налоговой службы, по состоянию на дату формирования справки терр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иториальным органом Федеральной налоговой службы (при наличии у заявителя задолженности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сборах).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9.5. Подтверждение соответствия заявителя требованиям, установленным пунктом 9 настоящего Порядка, в случае отсутствия технической возможности осуществления авто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матической проверки в системе «Электронный бюджет», производится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9.6. Департамент в течение 10 рабочих дней со дня, следующего за днем вскрытия заявок в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случае отсутствия технической возможности осуществления автоматической проверки в системе «Электронный бюджет», для подтверждения соответствия заявителя требованиям, установленным абзацем седьмым пункта 9, подпунктами 9.1 - 9.3 пункта 9 настоящего Порядка: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9.6.1. Запрашивает и получает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взаимодействия, следующую информацию: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9.6.1.1. В Федеральной налоговой службе сведения на дату формирования информации и дату заключения Соглашения о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том, что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9.6.1.2. У главных администраторов доходов бюджета автономного округа – исполнительных автономного округа – информацию на дату ее предоставления и д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ату заключения Соглашения об отсутствии просроченной задолженности по возврату в бюджет автономного округа иных субсидий, бюджетных инвестиций, а также иной просроченной (неурегулированной) задолженности по денежным обязательствам перед автономным округом.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9.6.1.3. В Федеральной службе государственной регистрации, кадастра и картографии – информацию на дату ее формирован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ия, подтверждающую наличие на праве владения либо пользования земельного(ых) участка(ов), на котором(ых) планируется реализация проекта, указанного в подпунктах 4.1.1.1, 4.1.1.3, 4.1.1.4, 4.1.2.3, 4.1.2.4, 4.2.1.3, 4.2.1.5, 4.3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,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4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.4.2 - 4.4.4, 4.4.7, 4.4.8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пункта 4 настоящего Порядка.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9.6.2. Проверяет на официальных сайтах в сети «Интернет»: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9.6.2.1. Федеральной службы по финансовому мониторингу на даты рассмотрения заявки и заключения Соглашения: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на предмет наличия либо отсутствия информации о заявителе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на предмет наличия либо отсутствия информации о заявителе в перечнях организаций и физических лиц, связанных с террористическими орган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9.6.2.2. Министерства юстиции Российской Федерации на предмет наличия либо отсутствия информации на даты рассмотрения заявки и заключения Соглашения о заявителе в реестре иностранных агентов.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9.6.2.3. Федеральной налоговой службы на даты рассмотрения заявки и заключения Соглашения: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на предмет наличия либо отсутствия информации о заявителе в реестре дисквалифицированных лиц;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на предмет нахождения на налоговом учете и осуществления деятельности на территории автономного округа в соответствии с видами и группировками экономической деятельности согласно Общероссийскому классификатору видов экономической деятельности ОК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029-2014 (КДЕС РЕД. 2), утвержденному приказом Федерального агентства по техническому регулированию и метрологии от 31 января 2014 года N 14-ст, установленных в подпункте 9.1 пункта 9 настоящего Порядка, в сервисе «Предоставление сведений из ЕГРЮЛ/ЕГРИП»;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на предмет наличия сведений о реорганизации, ликвидации юридического лица, не прекращения деятельности индивидуальные предприниматели в качестве такового в сервисе «Предоставление сведений из ЕГРЮЛ/ЕГРИП»;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сведения о руководителе юридического лица (фамилия, имя отчество, ИНН) в сервисе «Предоставление сведений из ЕГРЮЛ/ЕГРИП».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9.7. Документы, указанные в подпунктах 9.4.1 - 9.4.3 пункта 9 настоящего Порядка, представляются заявителем в обязательном порядке.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9.8. Документы, указанные в подпункте 9.4.4 пункта 9 настоящего Порядка, представляются заявителем по собственной инициативе.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9.9. Департамент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в целях подтверждения соответствия заявителя требованиям, установленным пунктом 9, подпунктами 9.1 - 9.3 пункта 9 настоящего Порядка, не вправе требовать от заявителя представления документов и информации, при наличии соответствующей информации в государст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заявитель готов представить указанные документы и информацию Департаменту по собственной инициативе.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10. Размер Субсидии рассчитывается по формуле: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center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Vсубi = L x (1 - P / 100), где: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Vсубi - размер Субсидии, предоставляемой i-му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участнику отбора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получателю Субсидии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в целях финансового обеспечения затрат, связанных с реализацией проекта;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L - общая сумма затрат на реализацию проекта;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P - уровень софинансирования получателем Субсидии проекта за счет собственных, который не может быть менее 20 процентов.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Размер Субсидии не может превышать сумму, запрашиваемую получателем Субсидии в заявке, и составлять более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20000,00 тыс. рублей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лимита бюджетных обязательств на предоставление Субсидии, указанного в объявлении об отборе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10.1. Расчет затрат, подлежащих субсидированию, осуществляется без учета налога на добавленную стоимость.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Для получателей Субсидии, использующих право на освобождение от исполнения обяза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нностей налогоплательщика, связанных с исчислением и уплатой налога на добавленную стоимость, финансовое обеспечение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11. Субсидия предоставляется на реализацию проекта со сроком завершения его мероприятий (предоставления финансовой отчетности, актов выполненных работ, товарных накладных, актов приема-передачи товаров) до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20 декабря 2024 года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25 декабря года, в котором предоставлена Субсидия, 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в соответствии с целями предоставления Субсидии.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Размер Субсидии составляет 80 процентов затрат на реализацию 1 (одного) проекта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, но не более 20 000,00 тыс. рублей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color w:val="000000"/>
          <w:sz w:val="24"/>
          <w:szCs w:val="24"/>
          <w:highlight w:val="yellow"/>
          <w:lang w:val="ru-RU" w:bidi="ru-RU"/>
        </w:rPr>
        <w:t xml:space="preserve">В случае недостаточности лимита (остатка лимита) финансирования на предоставление Субсидии при согласии заявителя Субсидия предоставляется в пределах остатка нераспределенного размера Субсидии.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12. Направления расходов, источником финансового обеспечения которых является Субсидия: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приобретение товаров и оборудования, работ и услуг, связанных с реализацией мероприятий, предусмотренных пунктом 4 настоящего Порядка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, без учета налога на добавленную стоимость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приобретение объектов интеллектуальной собственности, информационного, компьютерного, телекоммуникационного и прочего оборудования.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Направления расходов, источником финансового обеспечения которых является Субсидия, не могут включать расходы на оплату труда, в том числе начисления на выплаты по оплате труда, а также командировочные расходы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 и налоговые выплаты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13. Получателю Субсидии - юридическому лицу, а также и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ному юридическому лицу, получающему средства на основании договоров, заключенных с получателем Субсидии, за счет полученных из бюджета автономного округа запрещается приобретать средства иностранной валюты, за исключением операций, осуществляемых в соответ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</w:t>
      </w:r>
      <w:hyperlink r:id="rId26" w:tooltip="https://login.consultant.ru/link/?req=doc&amp;base=LAW&amp;n=490805&amp;date=07.02.2025&amp;dst=100095&amp;field=134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разделом V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Общих требований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 октября 2023 года № 1782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14. Условием предоставления Субсидии является согласие получателя Субсидии, лиц, получающих средства на основании договоров, заключенных с получателем Субсидии (за исключением государственных (мун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осуществление в отношении их проверки Департаментом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27" w:tooltip="https://login.consultant.ru/link/?req=doc&amp;base=LAW&amp;n=466790&amp;date=07.02.2025&amp;dst=3704&amp;field=134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статьями 268.1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и </w:t>
      </w:r>
      <w:hyperlink r:id="rId28" w:tooltip="https://login.consultant.ru/link/?req=doc&amp;base=LAW&amp;n=466790&amp;date=07.02.2025&amp;dst=3722&amp;field=134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269.2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Бюджетного кодекса Российской Федерации и на включение таких положений в Соглашение.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15. Основания для отказа заявителю в заключении Соглашения и предоставлении Субсидии на стадии подписания Соглашения</w:t>
      </w:r>
      <w:r>
        <w:rPr>
          <w:rFonts w:ascii="TimesNewRoman" w:hAnsi="TimesNewRoman" w:eastAsia="TimesNewRoman" w:cs="TimesNewRoman"/>
          <w:b/>
          <w:bCs/>
          <w:strike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: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установление факта недостоверности представленной получателем Субсидии информации;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несоответствие заявителя требованиям, установленным в пункте 9 настоящего Порядка;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отсутствие лимитов бюджетных ассигнований на предоставление Субсидии;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нарушение срока подписания (представления) Соглашения, установленного пунктом 21 настоящего Порядка.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color w:val="000000"/>
          <w:sz w:val="24"/>
          <w:szCs w:val="24"/>
          <w:highlight w:val="yellow"/>
          <w:lang w:val="ru-RU" w:bidi="ru-RU"/>
        </w:rPr>
        <w:t xml:space="preserve">15.</w:t>
      </w:r>
      <w:r>
        <w:rPr>
          <w:rFonts w:ascii="TimesNewRoman" w:hAnsi="TimesNewRoman" w:eastAsia="TimesNewRoman" w:cs="TimesNewRoman"/>
          <w:b/>
          <w:bCs/>
          <w:color w:val="000000"/>
          <w:sz w:val="24"/>
          <w:szCs w:val="24"/>
          <w:highlight w:val="yellow"/>
          <w:lang w:val="ru-RU" w:bidi="ru-RU"/>
        </w:rPr>
        <w:t xml:space="preserve"> В целях заключения Соглашения, в течение 3 рабочих дней со дня, следующего за днем размещения протокола подведения итогов отбора в системе «Электронный бюджет», Департамент издает приказ о признании победителя (победителей) отбора и заключении Соглашений.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15.1. Основания для отказа заявителю в заключении Соглашения либо в предоставлении Субсидии: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установление факта недостоверности представленной получателем Субсидии информации;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несоответствие заявителя требованиям, установленным в пункте 9, подпунктах 9.1-9.3 пункта 9 настоящего Порядка;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отсутствие лимитов бюджетных ассигнований на предоставление Субсидии;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нарушение срока подписания (представления) Соглашения, установленного подпунктом 16.2 пункта 16 настоящего Порядка.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9"/>
        <w:spacing w:before="0" w:after="0" w:line="240" w:lineRule="auto"/>
        <w:ind w:left="0" w:right="0" w:firstLine="0"/>
        <w:jc w:val="center"/>
        <w:outlineLvl w:val="1"/>
      </w:pPr>
      <w:r>
        <w:rPr>
          <w:rFonts w:ascii="Arial" w:hAnsi="Arial" w:eastAsia="Arial" w:cs="Arial"/>
          <w:b/>
          <w:bCs/>
          <w:sz w:val="24"/>
          <w:szCs w:val="24"/>
          <w:highlight w:val="yellow"/>
          <w:lang w:val="ru-RU" w:bidi="ru-RU"/>
        </w:rPr>
        <w:t xml:space="preserve">III. Условия и порядок заключения Соглашения</w:t>
      </w:r>
      <w:r>
        <w:rPr>
          <w:rFonts w:ascii="Arial" w:hAnsi="Arial" w:eastAsia="Arial" w:cs="Arial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16. Предоставление Субсидии осуществляется на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основании соглашения (договора) о предоставлении из бюджета автономного округа Субсидии, заключаемого между получателем Субсидии и Департаментом в соответствии с типовой формой, утвержденной Министерством финансов Российской Федерации (далее - Соглашение).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Соглашения формируются в системе "Электронный бюджет".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16. </w:t>
      </w:r>
      <w:r>
        <w:rPr>
          <w:rFonts w:ascii="TimesNewRoman" w:hAnsi="TimesNewRoman" w:eastAsia="TimesNewRoman" w:cs="TimesNewRoman"/>
          <w:b/>
          <w:bCs/>
          <w:color w:val="000000"/>
          <w:sz w:val="24"/>
          <w:szCs w:val="24"/>
          <w:highlight w:val="yellow"/>
          <w:lang w:val="ru-RU" w:bidi="ru-RU"/>
        </w:rPr>
        <w:t xml:space="preserve">Соглашение заключается в системе "Электронный бюджет" по типовой форме, установленной Министерством финансов Российской Федерации.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0" w:after="0" w:line="288" w:lineRule="atLeast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0" w:after="0" w:line="288" w:lineRule="atLeast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color w:val="000000"/>
          <w:sz w:val="24"/>
          <w:szCs w:val="24"/>
          <w:highlight w:val="yellow"/>
          <w:lang w:val="ru-RU" w:bidi="ru-RU"/>
        </w:rPr>
        <w:t xml:space="preserve">В случае обнаружения несоответствия победителя отбора требованиям, указан</w:t>
      </w:r>
      <w:r>
        <w:rPr>
          <w:rFonts w:ascii="TimesNewRoman" w:hAnsi="TimesNewRoman" w:eastAsia="TimesNewRoman" w:cs="TimesNewRoman"/>
          <w:b/>
          <w:bCs/>
          <w:color w:val="000000"/>
          <w:sz w:val="24"/>
          <w:szCs w:val="24"/>
          <w:highlight w:val="yellow"/>
          <w:lang w:val="ru-RU" w:bidi="ru-RU"/>
        </w:rPr>
        <w:t xml:space="preserve">ным в объявлении о проведении отбора, или представления победителем отбора недостоверной информации, Департамент оформляет в системе «Электронный бюджет» отказ от заключения Соглашения с победителем отбора и издает приказ об отказе в заключении Соглашения.</w:t>
      </w:r>
      <w:r>
        <w:rPr>
          <w:rFonts w:ascii="TimesNewRoman" w:hAnsi="TimesNewRoman" w:eastAsia="TimesNewRoman" w:cs="TimesNewRoman"/>
          <w:b/>
          <w:bCs/>
          <w:color w:val="000000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16.2. Для заключения Соглашения получатель Субсидии в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течение 2 (двух) рабочих дней со дня направления Департаментом проекта Соглашения подписывает его усиленной квалифицированной электронной подписью в системе "Электронный бюджет" и направляет его в Департамент с использованием системы "Электронный бюджет".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16.3. Днем представления в Департамент подписанного Соглашения считается дата направления Соглашения в Департамент посредством системы "Электронный бюджет".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16.4. Департамент в течение 3 (трех) рабочих дней со дня представления получателем Субсидии подписанного Соглашения подписывает его и направляет получателю Субсидии с использованием системы "Электронный бюджет".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16.5. В случае непредставления в течение установленного подпунктом 16.2 п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ункта 16 настоящего Порядка срока получателем Субсидии в установленном порядке подписанного Соглашения, Департамент издает приказ об отказе в заключении Соглашения и направляет соответствующее уведомление получателю Субсидии в системе "Электронный бюджет".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cyan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17. Для перечисления Субсидии получатель Субсидии представляет в Департамент заявление и документы для оплаты денежных обязательств, исчерпывающий перечень и сроки представления документов устанавливаются Соглашением.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 Для получения Субсидии получатели Субсидии, определенные победителями отбора, должны соответствовать требованиям на дату подачи заявления о предоставлении субсидии, установленных абзацами вторым – седьмым пункта 9 настоящего Порядка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.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17.1. Для перечисления Субсидии получатель Субсидии представляет в Департамент заявление о предоставлении Субсидии и документы для оплаты денежны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х обязательств (далее – заявление), исчерпывающий перечень и сроки представления которых устанавливаются Соглашением, а также в целях подтверждения соответствия получателя Субсидии требованиям, указанным в пункте 17 настоящего Порядка, следующие документы: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справка на дату предоставления заявления, подписанная руководителем получателя Субсидии, или иным лицом, уполномоченным надлежащим образом, о неполучении средств из федерального бюджета, бюджетов иных субъектов Российской Федерации, местных б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юджетов, на основании нормативных правовых актов Российской Федерации, нормативных правовых актов иных субъектов Российской Федерации, муниципальных правовых актов, решений о порядке предоставления субсидий на цель, указанную в пункте 3 настоящего Порядка;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документ, выданный держателем реестра владельцев ценных бумаг акционерного общества на дату не ранее чем за 30 календарных дней до дня подачи заявления, о размере доли в уставном капитале заявителя офшорных компаний, местом регистрации кото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(для акционерных обществ);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справка на дату предоставления заявления, подписанная руководителем получателя Субсидии, или иным лицом, уполномоченным надлежащим образом, о просроченной задолжен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ности по возврату в бюджет автономного округа субсидий, бюджетных инвестиций, а также иной просроченной (неурегулированной) задолженности по денежным обязательствам перед автономным округом по форме, установленной Департаментом финансов автономного округа.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17.2. Документы, указ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анные в подпункте 17.1 настоящего Порядка, предоставляются в Департамент на бумажных носителях лично или через представителя либо на адрес электронной почты Департамента (depprom@admhmao.ru) и являются обязательными для представления получателями Субсидии.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17.3. В составе заявления могут быть представлены оригиналы и (или) копии документов.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17.4. Копии документов могут быть: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заверены лицом (органом), выдавшим (согласовавшим) документ, либо нотариально по желанию получателя Субсидии;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удостоверены исполнительным органом получателя Субсидии путем проставления на них необходимых реквизитов, то есть печати (при наличии) и подписи уполномоченного лица, придающих им юридическую силу.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17.5. Документы должны быть написаны разборчиво по содержанию текста, наименования юридических лиц без сокращений с указанием их мест нахождения, и подписаны уполномоченными лицами.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17.6. Не подлежат приему документы, имеющие подчистки либо п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риписки, зачеркнутые слова по тексту, документы, исполненные карандашом, а также документы с повреждениями (бумаги), которые не позволяют читать текст и определить его полное или частичное смысловое содержание (отсутствие части слов, цифр или предложений).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17.7. Получатель Субсидии несет ответственность за достоверность предоставленной информации в соответствии с действующим законодательством Российской Федерации.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17.8. Днем обращения за Субсидией считается дата поступления в Департамен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т заявления с приложенными к нему документами, которое подлежит регистрации в день поступления (при поступлении в рабочий день до 16.30 часов, при поступлении в выходной день либо после 16.30 часов заявление подлежит регистрации на следующий рабочий день).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7.9. Департамент в течение 10 рабочих дней со дня, следующего за днем регистрации заявления,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в случае отсутствия технической возможности осуществления автоматической проверки в системе «Электронный бюджет», для подтверждения соответствия заявителя требованиям, установленным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пунктом 17 настоящего Порядка: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17.9.1. Запрашивает и получает посредством межведомственного зап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роса, в том числе в электронной форме с использованием единой системы межведомственного электронного взаимодействия, следующую информацию: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17.9.1.2. У главных администраторов доходов бюджета автономного округа – исполнительных автономного округа – информацию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на дату ее предоставления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об отсутствии просроченной задолженности по возврату в бюджет автономного округа иных субсидий, бюджетных инвестиций, а также иной просроченной (неурегулированной) задолженности по денежным обязательствам перед автономным округом.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17.9.2. Проверяет на официальных сайтах в сети «Интернет»: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17.9.2.1. Федеральной службы по финансовому мониторингу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на дату рассмотрения заявления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: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  <w:rPr>
          <w:highlight w:val="yellow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на предмет наличия либо отсутствия информации о заявителе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highlight w:val="yellow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на предмет наличия либо отсутствия информации о заявителе в перечнях организаций и физических лиц, связанных с террористическими орган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17.9.2.2. Министерства юстиции Российской Федерации на предмет наличия либо отсутствия информации на дату рассмотрения заявления о заявителе в реестре иностранных агентов.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17.9.2.3. Федеральной налоговой службы на дату рассмотрения заявления: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на предмет наличия либо отсутствия информации о заявителе в реестре дисквалифицированных лиц;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на предмет наличия сведений о реорганизации, ликвидации юридического лица, не прекращения деятельности индивидуальные предприниматели в качестве такового в сервисе «Предоставление сведений из ЕГРЮЛ/ЕГРИП»;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сведения о руководителе юридического лица (фамилия, имя отчество, ИНН) в сервисе «Предоставление сведений из ЕГРЮЛ/ЕГРИП».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17.10. По результатам рассмотрения заявления и документов, представленных получателями Субсидии, Департамент в течение 5 рабочих дней со дня, следующего за днем окончания срока рассмотрения д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окументов, установленного подпунктом 17.9 пункта 17 настоящего Порядка, принимает решение в форме приказа о предоставлении Субсидии либо об отказе в предоставлении Субсидии при наличии оснований, установленных подпунктом 17.12 пункта 17 настоящего Порядка.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17.11. В случае отказа в предоставлении Субсидии Департамент в течение 5 рабочих дней со дня, следующего за днем принятия решения, направляет получателю Субсидии уведомление с указанием причин отказа на адрес, указанный в заявке на участие в отборе.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17.12. Основаниями для отказа в предоставлении субсидии являются: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несоответс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твие представленных получателем Субсидии документов требованиям, установленных подпунктами 17.1 - 17.6 пункта 17 настоящего Порядка, или непредставление (представление не в полном объеме) документов, указанных в подпункте 17.1 пункта 17 настоящего Порядка;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установление факта недостоверности представленной получателем Субсидии информации;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несоответствие получателя Субсидии требованиям, установленных пунктом 17 настоящего Порядка;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непредставления заявления и документов в срок, установленный в Соглашении;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отсутствие лимитов бюджетных ассигнований на предоставление Субсидии.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17.13.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После устранения причин, послуживших отказом в предоставлении Субсидии (за исключением оснований, указанных в абзацами четвертым, пятым подпункта 17.12 пункта 17 настоящего Порядка), получатель Субсидии в срок не позднее 5 рабочих дней со дня получения уве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домления об отказе в предоставлении Субсидии имеет право повторно обратиться за получением Субсидии, а также представить дополнительные документы или информацию, которые не были представлены в полном объеме или не соответствовали установленным требованиям.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При повторном обращении получателя Субсидии за получением Субсидии Департамент рассматривает документы в порядке, установленном подпунктами 17.2 - 17.10 пункта 17 настоящего Порядка.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18. Перечисление Субсидии осуществляется в пределах утвержденных бюджетных ассигнований на лицевой счет, открытый получателю Субсидии в Департаменте финансов автономного округа, для учета операций со средствами получателей средств из бюджета, не позднее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7-го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10-го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рабочего дня, следующего за днем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предоставления получателем Субсидии в Департамент заявления и документов для оплаты денежных обязательств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принятия Департаментом по результатам рассмотрения и проверки им документов, указанных в пункте 17 настоящего Порядка, решения о предоставления Субсидии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19. Возврат Субсидии в бюджет автономного округа в случае нарушения условий ее предоставления осуществляется в соответствии с разделом IV настоящего Порядка.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center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9"/>
        <w:spacing w:before="0" w:after="0" w:line="240" w:lineRule="auto"/>
        <w:ind w:left="0" w:right="0" w:firstLine="0"/>
        <w:jc w:val="center"/>
        <w:outlineLvl w:val="1"/>
      </w:pPr>
      <w:r>
        <w:rPr>
          <w:rFonts w:ascii="Arial" w:hAnsi="Arial" w:eastAsia="Arial" w:cs="Arial"/>
          <w:b/>
          <w:bCs/>
          <w:strike/>
          <w:sz w:val="24"/>
          <w:szCs w:val="24"/>
          <w:highlight w:val="yellow"/>
          <w:lang w:val="ru-RU" w:bidi="ru-RU"/>
        </w:rPr>
        <w:t xml:space="preserve">III. Условия и порядок заключения Соглашения</w:t>
      </w:r>
      <w:r>
        <w:rPr>
          <w:rFonts w:ascii="Arial" w:hAnsi="Arial" w:eastAsia="Arial" w:cs="Arial"/>
          <w:b/>
          <w:bCs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center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20. Соглашение заключается в срок не позднее 15 (пятнадцати) рабочих дней с даты принятия решения о предоставлении Субсидии по типовой форме, установленной Министерством финансов Российской Федерации.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bookmarkStart w:id="0" w:name="undefined"/>
      <w:bookmarkEnd w:id="0"/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21. Для заключения Соглашения получатель Субсидии в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 течение 2 (двух) рабочих дней со дня направления Департаментом проекта Соглашения подписывает его усиленной квалифицированной электронной подписью в системе "Электронный бюджет" и направляет его в Департамент с использованием системы "Электронный бюджет".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22. Днем представления в Департамент подписанного Соглашения считается дата направления Соглашения в Департамент посредством системы "Электронный бюджет".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23. Департамент в течение 3 (трех) рабочих дней со дня представления получателем Субсидии подписанного Соглашения подписывает его и направляет получателю Субсидии с использованием системы "Электронный бюджет".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24. В случае непредставления в течение установленного пунктом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21 настоящего Порядка срока получателем Субсидии в установленном порядке подписанного Соглашения, Департамент утверждает приказ об отказе в предоставлении Субсидии и направляет соответствующее уведомление получателю Субсидии в системе "Электронный бюджет".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bookmarkStart w:id="0" w:name="undefined"/>
      <w:bookmarkEnd w:id="0"/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25. Результатом предоставления Субсидии является достижение показателя "число туристских поездок".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Значение результата предоставления Субсидии устанавливает Департамент в Соглашении, оценку его достижения осуществляет на основании представленной получателем Субсидии отчетности.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25. Рез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ультатом предоставления Субсидии является реализация мероприятий, обеспечивающих вклад в достижение значения показателя «Количество туристических поездок по территории Российской Федерации» (тип мероприятия (результата) - оказание услуг (выполнение работ).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Для получателя Субсидии значение результата предоставления Субсидии равно численности размещенных лиц, указанной в отчетности в Федеральную службу государственной статистики по форме № 1-КСР «Сведения о деятельности коллективного средства размещения».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Значение результата предоставления Субсидии устанавливается в Соглашении на основании предоставленных получателем Субсидии сведений о плановой численности размещенных лиц в ср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едстве размещения в году, в котором планируется получение Субсидии, но в размере не меньшем, чем в предыдущем году. Значение результата предоставления Субсидии должно быть достигнуто не позднее 31 декабря финансового года, в котором предоставлена Субсидия.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Департамент осуществляет оценку достижения значения результата предоставления Субсидии на основании представленной получателем Субсидии отчетности.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bookmarkStart w:id="0" w:name="undefined"/>
      <w:bookmarkEnd w:id="0"/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26. Формы предоставлени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я получателем Субсидии отчетности об осуществлении расходов, источником финансового обеспечения которых является Субсидия, а также средств получателя Субсидии, затраченных в качестве софинансирования проекта (далее - отчетность о расходах), отчетности о до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стижении значения результата предоставления Субсидии в соответствии с целью, указанной в пункте 3 настоящего Порядка, предусмотрены типовыми формами, установленными Министерством финансов Российской Федерации для соглашений, в системе "Электронный бюджет".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27. В Соглашении должны быть предусмотрены следующие обязательства получателя Субсидии: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по осуществлению деятельности в сфере туризма на территории автономного округа, в соответствии с проектом, на реализацию которого предоставляется Субсидия, в течение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5 (пяти)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3 (трех)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лет с даты получения Субсидии;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по софинансированию проекта в размере, достаточном для реализации проекта, но не менее 20 процентов;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по оплате не менее 20 процентов стоимости каждого наименования приобретаемого имущества, выполняемых работ, оказываемых услуг, указанных в плане расходов;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198" w:after="0" w:line="240" w:lineRule="auto"/>
        <w:ind w:left="0" w:right="0" w:firstLine="540"/>
        <w:contextualSpacing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по напра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влению отчетности в Управление Федеральной службы государственной статистики по Тюменской области, Ханты-Мансийскому автономному округу - Югре и Ямало-Ненецкому автономному округу по форме N 1-КСР "Сведения о деятельности коллективного средства размещения"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 (для получателей субсидии, имеющих ОКВЭДы: 55.1, 55.2, 86.90.4)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и Департамент в течение 3 (трех) лет с года предоставления Субсидии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(в ред. </w:t>
      </w:r>
      <w:hyperlink r:id="rId29" w:tooltip="https://login.consultant.ru/link/?req=doc&amp;base=RLAW926&amp;n=312401&amp;date=07.02.2025&amp;dst=100483&amp;field=134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приказа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Деппромышленности Югры от 08.11.2024 N 22-нп)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согласие получателя Субсидии, лиц, получающих средства на основании договоров, заключенных с получателем Субсидии (за исключением государственных (мун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осуществление в отношении их проверки Департаментом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30" w:tooltip="https://login.consultant.ru/link/?req=doc&amp;base=LAW&amp;n=466790&amp;date=07.02.2025&amp;dst=3704&amp;field=134" w:history="1">
        <w:r>
          <w:rPr>
            <w:rFonts w:ascii="TimesNewRoman" w:hAnsi="TimesNewRoman" w:eastAsia="TimesNewRoman" w:cs="TimesNewRoman"/>
            <w:b/>
            <w:bCs/>
            <w:color w:val="0000ff"/>
            <w:sz w:val="24"/>
            <w:szCs w:val="24"/>
            <w:highlight w:val="yellow"/>
            <w:lang w:val="ru-RU" w:bidi="ru-RU"/>
          </w:rPr>
          <w:t xml:space="preserve">статьями 268.1</w:t>
        </w:r>
      </w:hyperlink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и </w:t>
      </w:r>
      <w:hyperlink r:id="rId31" w:tooltip="https://login.consultant.ru/link/?req=doc&amp;base=LAW&amp;n=466790&amp;date=07.02.2025&amp;dst=3722&amp;field=134" w:history="1">
        <w:r>
          <w:rPr>
            <w:rFonts w:ascii="TimesNewRoman" w:hAnsi="TimesNewRoman" w:eastAsia="TimesNewRoman" w:cs="TimesNewRoman"/>
            <w:b/>
            <w:bCs/>
            <w:color w:val="0000ff"/>
            <w:sz w:val="24"/>
            <w:szCs w:val="24"/>
            <w:highlight w:val="yellow"/>
            <w:lang w:val="ru-RU" w:bidi="ru-RU"/>
          </w:rPr>
          <w:t xml:space="preserve">269.2</w:t>
        </w:r>
      </w:hyperlink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Бюджетного кодекса Российской Федерации;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по согласованию новых условий Соглашения или расторжению Соглашения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при недостижении согласия по новым условиям в случае уменьшения Департаменту ранее доведенных лимитов бюджетных обязательств, указанных в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настоящего Положения, приводящего к невозможности предоставления субсидии в размере, определенном в Соглашении;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согласие на запрет приобретения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получателями Субсидии - юридическими лицами, а также иными юридическими лицами, получающими средства на основании договоров, заключенных с получателями Субсидии, за счет полученных из бюджета автономного округа средств иностранной валюты, за исключением оп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Субсидии;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по размещению аншлага о проекте с использованием фи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рменного стиля "Национальные проекты России", разработанного автономной некоммерческой организацией "Национальные приоритеты", на реализованных проектах с привлечением средств Субсидии и предварительному согласованию с Департаментом дизайна такого аншлага.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27.1. В соглашении о предоставлении субсидии также устанавливаются: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значение результата предоставления субсидии и точная дата достижения результата предоставления субсидии;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план мероприятий по достижению результат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ов предоставления субсидии (контрольные точки) (далее – План мероприятий) и обязанность Получателя по представлению отчета о реализации Плана мероприятий. План мероприятий формируется на текущий финансовый год с указанием одной контрольной точки в квартал.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28. При реорганизации получателя Субсидии, являющегося юридическим 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32" w:tooltip="https://login.consultant.ru/link/?req=doc&amp;base=LAW&amp;n=482692&amp;date=07.02.2025&amp;dst=217&amp;field=134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абзацем вторым пункта 5 статьи 23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33" w:tooltip="https://login.consultant.ru/link/?req=doc&amp;base=LAW&amp;n=482692&amp;date=07.02.2025&amp;dst=217&amp;field=134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абзацем вторым пункта 5 статьи 23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34" w:tooltip="https://login.consultant.ru/link/?req=doc&amp;base=LAW&amp;n=479333&amp;date=07.02.2025&amp;dst=100104&amp;field=134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статьей 18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Федер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29. В случае уменьшения Департаменту ранее доведенных лимитов бюд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недостижении согласия по новым условиям.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30. В случае изменения условий Соглашения Департамент заключа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ет дополнительное соглашение к Соглашению, в том числе соглашение о расторжении Соглашения (при необходимости) на условиях и в порядке, определенных в Соглашении в соответствии с типовыми формами, установленными Министерством финансов Российской Федерации.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center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9"/>
        <w:spacing w:before="0" w:after="0" w:line="240" w:lineRule="auto"/>
        <w:ind w:left="0" w:right="0" w:firstLine="0"/>
        <w:jc w:val="center"/>
        <w:outlineLvl w:val="1"/>
      </w:pPr>
      <w:bookmarkStart w:id="0" w:name="undefined"/>
      <w:bookmarkEnd w:id="0"/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  <w:t xml:space="preserve">IV. Требования к отчетности и об осуществлении контроля</w:t>
      </w: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</w:r>
    </w:p>
    <w:p>
      <w:pPr>
        <w:pStyle w:val="819"/>
        <w:spacing w:before="0" w:after="0" w:line="240" w:lineRule="auto"/>
        <w:ind w:left="0" w:right="0" w:firstLine="0"/>
        <w:jc w:val="center"/>
      </w:pP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  <w:t xml:space="preserve">(мониторинга) за соблюдением условий и порядка</w:t>
      </w: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</w:r>
    </w:p>
    <w:p>
      <w:pPr>
        <w:pStyle w:val="819"/>
        <w:spacing w:before="0" w:after="0" w:line="240" w:lineRule="auto"/>
        <w:ind w:left="0" w:right="0" w:firstLine="0"/>
        <w:jc w:val="center"/>
      </w:pP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  <w:t xml:space="preserve">предоставления Субсидии и ответственности за их нарушение</w:t>
      </w: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center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540"/>
        <w:jc w:val="both"/>
      </w:pPr>
      <w:bookmarkStart w:id="0" w:name="undefined"/>
      <w:bookmarkEnd w:id="0"/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31. Получатель Субсидии ежеквартально не позднее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10-го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20-го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рабочего дня с даты, следующей за отчетным кварталом, предоставляет в Департамент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в соответствии с пунктом 26 настоящего Порядка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отчетность о расходах, итоговую отчетность о расходах - до 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20 декабря 2024 года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 10 февраля года, следующего за отчетным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. </w:t>
      </w:r>
      <w:r>
        <w:rPr>
          <w:rFonts w:ascii="TimesNewRoman" w:hAnsi="TimesNewRoman" w:eastAsia="TimesNewRoman" w:cs="TimesNewRoman"/>
          <w:sz w:val="24"/>
          <w:szCs w:val="24"/>
          <w:highlight w:val="cyan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(в ред. </w:t>
      </w:r>
      <w:hyperlink r:id="rId35" w:tooltip="https://login.consultant.ru/link/?req=doc&amp;base=RLAW926&amp;n=312401&amp;date=07.02.2025&amp;dst=100484&amp;field=134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приказа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Деппромышленности Югры от 08.11.2024 N 22-нп)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bookmarkStart w:id="0" w:name="undefined"/>
      <w:bookmarkEnd w:id="0"/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32. Получатель Субсидии направляет в Департамент ежегодно до 10 февраля года, следующего за отчетным, 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ежеквартально не позднее 20-го рабочего дня с даты, следующей за отчетным кварталом,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отчетность о достижении значения результата предоставления Субсидии</w:t>
      </w:r>
      <w:r>
        <w:rPr>
          <w:rFonts w:ascii="TimesNewRoman" w:hAnsi="TimesNewRoman" w:eastAsia="TimesNewRoman" w:cs="TimesNewRoman"/>
          <w:strike/>
          <w:sz w:val="24"/>
          <w:szCs w:val="24"/>
          <w:highlight w:val="yellow"/>
          <w:lang w:val="ru-RU" w:bidi="ru-RU"/>
        </w:rPr>
        <w:t xml:space="preserve"> в соответствии с пунктом 25 настоящего Порядка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32.1. Получатель Субсидии направляет в Департамент отчет о реализации плана меропри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yellow"/>
          <w:lang w:val="ru-RU" w:bidi="ru-RU"/>
        </w:rPr>
        <w:t xml:space="preserve">ятий по достижению результатов предоставления Субсидии (контрольных точек), установленных в Соглашении, ежеквартально не позднее 20-го рабочего дня с даты, следующей за отчетным кварталом, годовой отчет - не позднее 10 февраля года, следующего за отчетным.</w:t>
      </w:r>
      <w:r>
        <w:rPr>
          <w:rFonts w:ascii="TimesNewRoman" w:hAnsi="TimesNewRoman" w:eastAsia="TimesNewRoman" w:cs="TimesNewRoman"/>
          <w:sz w:val="24"/>
          <w:szCs w:val="24"/>
          <w:highlight w:val="yellow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33. Департамент осуществляет проверку и принятие отчетностей, указанных в пунктах 31, 32 настоящего Порядка, в срок, не превышающий 30 рабочих дней со дня представления таких отчетностей.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34. Контроль за соблюдением получателем Субсидии услов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ий и порядка предоставления Субсидии, в том числе в части целевого расходования средств Субсидии, достижения результата предоставления Субсидии, осуществляет Департамент. Органы государственного финансового контроля осуществляют проверку в соответствии со </w:t>
      </w:r>
      <w:hyperlink r:id="rId36" w:tooltip="https://login.consultant.ru/link/?req=doc&amp;base=LAW&amp;n=466790&amp;date=07.02.2025&amp;dst=3704&amp;field=134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статьями 268.1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и </w:t>
      </w:r>
      <w:hyperlink r:id="rId37" w:tooltip="https://login.consultant.ru/link/?req=doc&amp;base=LAW&amp;n=466790&amp;date=07.02.2025&amp;dst=3722&amp;field=134" w:history="1">
        <w:r>
          <w:rPr>
            <w:rFonts w:ascii="TimesNewRoman" w:hAnsi="TimesNewRoman" w:eastAsia="TimesNewRoman" w:cs="TimesNewRoman"/>
            <w:color w:val="0000ff"/>
            <w:sz w:val="24"/>
            <w:szCs w:val="24"/>
            <w:lang w:val="ru-RU" w:bidi="ru-RU"/>
          </w:rPr>
          <w:t xml:space="preserve">269.2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 Бюджетного кодекса Российской Федерации.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35. Департамент осуществляет мониторинг достижения результата предоставления Субсидии, исходя из достижения значения результата предоставления Субс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36. Департамент применяет следующие меры ответственности за выявленные нарушения условий и порядка предоставления Субсидии, установленные настоящим Порядком и Соглашением (далее - нарушение):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в случае нарушения получателем Субсидии условий и порядка предоставления Субсидии, выявленных по фактам проверок, проведенных Департаментом и (или) органом государственного финансового контроля, нарушения пол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учателем Субсидии условий Соглашения (за исключением недостижения значений результатов предоставления Субсидии), а также предоставления получателем Субсидии недостоверных сведений осуществляется возврат в бюджет автономного округа Субсидии в полном объеме;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в случае недостижения значений результата предоставления Субсидии осуществляется возврат части Субсидии, который определяется по формуле: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0"/>
        <w:jc w:val="center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V = R - (R x F / P), где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V - размер возврата Субсидии, рублей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R - размер полученной Субсидии, рублей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F - фактическое значение результата предоставления Субсидии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P - плановое значение результата предоставления Субсидии, установленное Соглашением.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37. О выявлении нарушений, а также о недостижении значений результата пр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едоставления Субсидии Департамент составляет претензию о невыполнении обязательств Соглашения, где указывает выявленные нарушения и сроки их устранения, и направляет ее получателю Субсидии в срок не позднее 7 (семи) рабочих дней со дня выявления нарушений.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38. В случае неустранения нарушений Департамент в срок не позднее 7 (семи) рабочих дней со дня истечения указанного в претензии срока уст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ранения выявленных нарушений направляет получателю Субсидии письменное уведомление о необходимости возврата Субсидии (далее - уведомление о возврате), содержащее сумму возврата Субсидии и реквизиты счета, на который должен быть осуществлен возврат средств.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39. Получатель Субсидии обязан в течение 30 (тридцати) рабочих дней со дня получения требования о возврате Субсидии перечислить указанную в нем сумму по установленным реквизитам на счет, указанный уведомления о возврате.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40.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41. Контроль за целевым использованием бюджетных средств осуществляется в соответствии с действующим законодательством.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p>
      <w:pPr>
        <w:pStyle w:val="818"/>
        <w:spacing w:before="240" w:after="0" w:line="240" w:lineRule="auto"/>
        <w:ind w:left="0" w:right="0" w:firstLine="540"/>
        <w:jc w:val="both"/>
      </w:pP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42. Получатель Субсидии несет 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  <w:t xml:space="preserve">ответственность, предусмотренную законодательством Российской Федерации и автономного округа, за несоблюдение условий и порядка предоставления Субсидии, Соглашения, а также достоверность предоставленной информации и сведений в предоставленных в документах.</w:t>
      </w:r>
      <w:r>
        <w:rPr>
          <w:rFonts w:ascii="TimesNewRoman" w:hAnsi="TimesNewRoman" w:eastAsia="TimesNewRoman" w:cs="TimesNewRoman"/>
          <w:sz w:val="24"/>
          <w:szCs w:val="24"/>
          <w:lang w:val="ru-RU" w:bidi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spacing w:after="57"/>
      <w:ind w:left="0" w:right="0" w:firstLine="0"/>
    </w:pPr>
  </w:style>
  <w:style w:type="paragraph" w:styleId="802">
    <w:name w:val="toc 2"/>
    <w:basedOn w:val="812"/>
    <w:next w:val="812"/>
    <w:uiPriority w:val="39"/>
    <w:unhideWhenUsed/>
    <w:pPr>
      <w:spacing w:after="57"/>
      <w:ind w:left="283" w:right="0" w:firstLine="0"/>
    </w:pPr>
  </w:style>
  <w:style w:type="paragraph" w:styleId="803">
    <w:name w:val="toc 3"/>
    <w:basedOn w:val="812"/>
    <w:next w:val="812"/>
    <w:uiPriority w:val="39"/>
    <w:unhideWhenUsed/>
    <w:pPr>
      <w:spacing w:after="57"/>
      <w:ind w:left="567" w:right="0" w:firstLine="0"/>
    </w:pPr>
  </w:style>
  <w:style w:type="paragraph" w:styleId="804">
    <w:name w:val="toc 4"/>
    <w:basedOn w:val="812"/>
    <w:next w:val="812"/>
    <w:uiPriority w:val="39"/>
    <w:unhideWhenUsed/>
    <w:pPr>
      <w:spacing w:after="57"/>
      <w:ind w:left="850" w:right="0" w:firstLine="0"/>
    </w:pPr>
  </w:style>
  <w:style w:type="paragraph" w:styleId="805">
    <w:name w:val="toc 5"/>
    <w:basedOn w:val="812"/>
    <w:next w:val="812"/>
    <w:uiPriority w:val="39"/>
    <w:unhideWhenUsed/>
    <w:pPr>
      <w:spacing w:after="57"/>
      <w:ind w:left="1134" w:right="0" w:firstLine="0"/>
    </w:pPr>
  </w:style>
  <w:style w:type="paragraph" w:styleId="806">
    <w:name w:val="toc 6"/>
    <w:basedOn w:val="812"/>
    <w:next w:val="812"/>
    <w:uiPriority w:val="39"/>
    <w:unhideWhenUsed/>
    <w:pPr>
      <w:spacing w:after="57"/>
      <w:ind w:left="1417" w:right="0" w:firstLine="0"/>
    </w:pPr>
  </w:style>
  <w:style w:type="paragraph" w:styleId="807">
    <w:name w:val="toc 7"/>
    <w:basedOn w:val="812"/>
    <w:next w:val="812"/>
    <w:uiPriority w:val="39"/>
    <w:unhideWhenUsed/>
    <w:pPr>
      <w:spacing w:after="57"/>
      <w:ind w:left="1701" w:right="0" w:firstLine="0"/>
    </w:pPr>
  </w:style>
  <w:style w:type="paragraph" w:styleId="808">
    <w:name w:val="toc 8"/>
    <w:basedOn w:val="812"/>
    <w:next w:val="812"/>
    <w:uiPriority w:val="39"/>
    <w:unhideWhenUsed/>
    <w:pPr>
      <w:spacing w:after="57"/>
      <w:ind w:left="1984" w:right="0" w:firstLine="0"/>
    </w:pPr>
  </w:style>
  <w:style w:type="paragraph" w:styleId="809">
    <w:name w:val="toc 9"/>
    <w:basedOn w:val="812"/>
    <w:next w:val="812"/>
    <w:uiPriority w:val="39"/>
    <w:unhideWhenUsed/>
    <w:pPr>
      <w:spacing w:after="57"/>
      <w:ind w:left="2268" w:right="0" w:firstLine="0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ind w:left="720"/>
      <w:contextualSpacing/>
    </w:pPr>
  </w:style>
  <w:style w:type="character" w:styleId="817" w:default="1">
    <w:name w:val="Default Paragraph Font"/>
    <w:uiPriority w:val="1"/>
    <w:semiHidden/>
    <w:unhideWhenUsed/>
  </w:style>
  <w:style w:type="paragraph" w:styleId="818" w:customStyle="1">
    <w:name w:val="ConsPlusNormal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paragraph" w:styleId="819" w:customStyle="1">
    <w:name w:val="ConsPlusTitle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Arial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paragraph" w:styleId="820" w:customStyle="1">
    <w:name w:val="Body Text"/>
    <w:uiPriority w:val="1"/>
    <w:qFormat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0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926&amp;n=306523&amp;date=07.02.2025&amp;dst=100011&amp;field=134" TargetMode="External"/><Relationship Id="rId9" Type="http://schemas.openxmlformats.org/officeDocument/2006/relationships/hyperlink" Target="https://login.consultant.ru/link/?req=doc&amp;base=RLAW926&amp;n=312401&amp;date=07.02.2025&amp;dst=100482&amp;field=134" TargetMode="External"/><Relationship Id="rId10" Type="http://schemas.openxmlformats.org/officeDocument/2006/relationships/hyperlink" Target="https://login.consultant.ru/link/?req=doc&amp;base=LAW&amp;n=466790&amp;date=07.02.2025&amp;dst=103395&amp;field=134" TargetMode="External"/><Relationship Id="rId11" Type="http://schemas.openxmlformats.org/officeDocument/2006/relationships/hyperlink" Target="https://login.consultant.ru/link/?req=doc&amp;base=LAW&amp;n=493653&amp;date=07.02.2025" TargetMode="External"/><Relationship Id="rId12" Type="http://schemas.openxmlformats.org/officeDocument/2006/relationships/hyperlink" Target="https://login.consultant.ru/link/?req=doc&amp;base=LAW&amp;n=463851&amp;date=07.02.2025&amp;dst=100002&amp;field=134" TargetMode="External"/><Relationship Id="rId13" Type="http://schemas.openxmlformats.org/officeDocument/2006/relationships/hyperlink" Target="https://login.consultant.ru/link/?req=doc&amp;base=LAW&amp;n=492068&amp;date=07.02.2025" TargetMode="External"/><Relationship Id="rId14" Type="http://schemas.openxmlformats.org/officeDocument/2006/relationships/hyperlink" Target="https://login.consultant.ru/link/?req=doc&amp;base=LAW&amp;n=409150&amp;date=07.02.2025&amp;dst=100012&amp;field=134" TargetMode="External"/><Relationship Id="rId15" Type="http://schemas.openxmlformats.org/officeDocument/2006/relationships/hyperlink" Target="https://login.consultant.ru/link/?req=doc&amp;base=RLAW926&amp;n=315287&amp;date=07.02.2025&amp;dst=114&amp;field=134" TargetMode="External"/><Relationship Id="rId16" Type="http://schemas.openxmlformats.org/officeDocument/2006/relationships/hyperlink" Target="https://login.consultant.ru/link/?req=doc&amp;base=LAW&amp;n=435608&amp;date=07.02.2025&amp;dst=100009&amp;field=134" TargetMode="External"/><Relationship Id="rId17" Type="http://schemas.openxmlformats.org/officeDocument/2006/relationships/hyperlink" Target="https://login.consultant.ru/link/?req=doc&amp;base=LAW&amp;n=268196&amp;date=07.02.2025" TargetMode="External"/><Relationship Id="rId18" Type="http://schemas.openxmlformats.org/officeDocument/2006/relationships/hyperlink" Target="https://login.consultant.ru/link/?req=doc&amp;base=LAW&amp;n=491830&amp;date=07.02.2025&amp;dst=100021&amp;field=134" TargetMode="External"/><Relationship Id="rId19" Type="http://schemas.openxmlformats.org/officeDocument/2006/relationships/hyperlink" Target="https://login.consultant.ru/link/?req=doc&amp;base=LAW&amp;n=490805&amp;date=07.02.2025&amp;dst=100157&amp;field=134" TargetMode="External"/><Relationship Id="rId20" Type="http://schemas.openxmlformats.org/officeDocument/2006/relationships/hyperlink" Target="https://login.consultant.ru/link/?req=doc&amp;base=LAW&amp;n=491830&amp;date=07.02.2025&amp;dst=100104&amp;field=134" TargetMode="External"/><Relationship Id="rId21" Type="http://schemas.openxmlformats.org/officeDocument/2006/relationships/hyperlink" Target="https://login.consultant.ru/link/?req=doc&amp;base=LAW&amp;n=491830&amp;date=07.02.2025&amp;dst=100104&amp;field=134" TargetMode="External"/><Relationship Id="rId22" Type="http://schemas.openxmlformats.org/officeDocument/2006/relationships/hyperlink" Target="https://login.consultant.ru/link/?req=doc&amp;base=LAW&amp;n=483137&amp;date=07.02.2025" TargetMode="External"/><Relationship Id="rId23" Type="http://schemas.openxmlformats.org/officeDocument/2006/relationships/hyperlink" Target="https://login.consultant.ru/link/?req=doc&amp;base=LAW&amp;n=121087&amp;date=07.02.2025&amp;dst=100142&amp;field=134" TargetMode="External"/><Relationship Id="rId24" Type="http://schemas.openxmlformats.org/officeDocument/2006/relationships/hyperlink" Target="https://login.consultant.ru/link/?req=doc&amp;base=LAW&amp;n=483130&amp;date=07.02.2025&amp;dst=5769&amp;field=134" TargetMode="External"/><Relationship Id="rId25" Type="http://schemas.openxmlformats.org/officeDocument/2006/relationships/hyperlink" Target="https://login.consultant.ru/link/?req=doc&amp;base=LAW&amp;n=495920&amp;date=07.02.2025" TargetMode="External"/><Relationship Id="rId26" Type="http://schemas.openxmlformats.org/officeDocument/2006/relationships/hyperlink" Target="https://login.consultant.ru/link/?req=doc&amp;base=LAW&amp;n=490805&amp;date=07.02.2025&amp;dst=100095&amp;field=134" TargetMode="External"/><Relationship Id="rId27" Type="http://schemas.openxmlformats.org/officeDocument/2006/relationships/hyperlink" Target="https://login.consultant.ru/link/?req=doc&amp;base=LAW&amp;n=466790&amp;date=07.02.2025&amp;dst=3704&amp;field=134" TargetMode="External"/><Relationship Id="rId28" Type="http://schemas.openxmlformats.org/officeDocument/2006/relationships/hyperlink" Target="https://login.consultant.ru/link/?req=doc&amp;base=LAW&amp;n=466790&amp;date=07.02.2025&amp;dst=3722&amp;field=134" TargetMode="External"/><Relationship Id="rId29" Type="http://schemas.openxmlformats.org/officeDocument/2006/relationships/hyperlink" Target="https://login.consultant.ru/link/?req=doc&amp;base=RLAW926&amp;n=312401&amp;date=07.02.2025&amp;dst=100483&amp;field=134" TargetMode="External"/><Relationship Id="rId30" Type="http://schemas.openxmlformats.org/officeDocument/2006/relationships/hyperlink" Target="https://login.consultant.ru/link/?req=doc&amp;base=LAW&amp;n=466790&amp;date=07.02.2025&amp;dst=3704&amp;field=134" TargetMode="External"/><Relationship Id="rId31" Type="http://schemas.openxmlformats.org/officeDocument/2006/relationships/hyperlink" Target="https://login.consultant.ru/link/?req=doc&amp;base=LAW&amp;n=466790&amp;date=07.02.2025&amp;dst=3722&amp;field=134" TargetMode="External"/><Relationship Id="rId32" Type="http://schemas.openxmlformats.org/officeDocument/2006/relationships/hyperlink" Target="https://login.consultant.ru/link/?req=doc&amp;base=LAW&amp;n=482692&amp;date=07.02.2025&amp;dst=217&amp;field=134" TargetMode="External"/><Relationship Id="rId33" Type="http://schemas.openxmlformats.org/officeDocument/2006/relationships/hyperlink" Target="https://login.consultant.ru/link/?req=doc&amp;base=LAW&amp;n=482692&amp;date=07.02.2025&amp;dst=217&amp;field=134" TargetMode="External"/><Relationship Id="rId34" Type="http://schemas.openxmlformats.org/officeDocument/2006/relationships/hyperlink" Target="https://login.consultant.ru/link/?req=doc&amp;base=LAW&amp;n=479333&amp;date=07.02.2025&amp;dst=100104&amp;field=134" TargetMode="External"/><Relationship Id="rId35" Type="http://schemas.openxmlformats.org/officeDocument/2006/relationships/hyperlink" Target="https://login.consultant.ru/link/?req=doc&amp;base=RLAW926&amp;n=312401&amp;date=07.02.2025&amp;dst=100484&amp;field=134" TargetMode="External"/><Relationship Id="rId36" Type="http://schemas.openxmlformats.org/officeDocument/2006/relationships/hyperlink" Target="https://login.consultant.ru/link/?req=doc&amp;base=LAW&amp;n=466790&amp;date=07.02.2025&amp;dst=3704&amp;field=134" TargetMode="External"/><Relationship Id="rId37" Type="http://schemas.openxmlformats.org/officeDocument/2006/relationships/hyperlink" Target="https://login.consultant.ru/link/?req=doc&amp;base=LAW&amp;n=466790&amp;date=07.02.2025&amp;dst=3722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2025-06-23T10:08:16Z</dcterms:modified>
</cp:coreProperties>
</file>