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25" w:rsidRDefault="00BF6A49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3B1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2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АВТОМОБИЛЬНОМ ТРАНСПОРТЕ И В ДОРОЖНОМ ХОЗЯЙСТВЕ</w:t>
      </w:r>
    </w:p>
    <w:p w:rsidR="009345EC" w:rsidRDefault="009345EC" w:rsidP="00934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CAA" w:rsidRDefault="003B1025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отано в соответствии с пунктом 5 части 3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46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в целях оказания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контроля </w:t>
      </w:r>
      <w:r w:rsidR="00C20CAA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Нижневартовска.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обязательных требований, предусмотренных Федеральными законами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"Устав автомобильного транспорта и городского наземного электрического транспорта" 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основ функционирования автомоб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ильных дорог, их использования в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пользователей автомобильными дорогами, собственников автомобильных дорог,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развития автомобильных дорог, улучшение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состояния, а также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внедрению перспективных технологий в области дорожной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применению национальных стандартов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в указанной области являются основными целями органа местного самоуправления при осуществлении дорожной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в отношении автомобильных дорог местного значения на территории города Нижневартовска.</w:t>
      </w:r>
    </w:p>
    <w:p w:rsidR="00F646C2" w:rsidRDefault="00C20CAA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3E">
        <w:rPr>
          <w:rFonts w:ascii="Times New Roman" w:hAnsi="Times New Roman" w:cs="Times New Roman"/>
          <w:sz w:val="28"/>
          <w:szCs w:val="28"/>
        </w:rPr>
        <w:t xml:space="preserve">Автомобильными дорогами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6D3E">
        <w:rPr>
          <w:rFonts w:ascii="Times New Roman" w:hAnsi="Times New Roman" w:cs="Times New Roman"/>
          <w:sz w:val="28"/>
          <w:szCs w:val="28"/>
        </w:rPr>
        <w:t xml:space="preserve"> являются автомобильные дороги общего п</w:t>
      </w:r>
      <w:r>
        <w:rPr>
          <w:rFonts w:ascii="Times New Roman" w:hAnsi="Times New Roman" w:cs="Times New Roman"/>
          <w:sz w:val="28"/>
          <w:szCs w:val="28"/>
        </w:rPr>
        <w:t>ользования в границах населенного пункта</w:t>
      </w:r>
      <w:r w:rsidRPr="0062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26D3E">
        <w:rPr>
          <w:rFonts w:ascii="Times New Roman" w:hAnsi="Times New Roman" w:cs="Times New Roman"/>
          <w:sz w:val="28"/>
          <w:szCs w:val="28"/>
        </w:rPr>
        <w:t xml:space="preserve">, за исключением автомобильных дорог общего пользования федерального, регионального или </w:t>
      </w:r>
      <w:r w:rsidRPr="00F646C2">
        <w:rPr>
          <w:rFonts w:ascii="Times New Roman" w:hAnsi="Times New Roman" w:cs="Times New Roman"/>
          <w:sz w:val="28"/>
          <w:szCs w:val="28"/>
        </w:rPr>
        <w:t>межмуниципального значения, частных автомобильных дорог. Перечень автомобильных дорог общего пользования местного значения города Нижневартовска утверждается распоряжением администрации города Нижневартовска.</w:t>
      </w:r>
    </w:p>
    <w:p w:rsidR="00F646C2" w:rsidRDefault="00F646C2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C20CAA">
        <w:rPr>
          <w:rFonts w:ascii="Times New Roman" w:hAnsi="Times New Roman" w:cs="Times New Roman"/>
          <w:sz w:val="28"/>
          <w:szCs w:val="28"/>
        </w:rPr>
        <w:t xml:space="preserve">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259-ФЗ "Устав автомобильного транспорта и городского наземного электрического транспорта"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C2">
        <w:rPr>
          <w:rFonts w:ascii="Times New Roman" w:hAnsi="Times New Roman" w:cs="Times New Roman"/>
          <w:sz w:val="28"/>
          <w:szCs w:val="28"/>
        </w:rPr>
        <w:t>определяет общие условия перевозок пассажиров и багажа, грузов соответственно автобусами, легковыми автомобилями, грузовыми автомобилями, в том числе с использованием автомобильных прицепов, автомобильных полуприцепов,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F646C2" w:rsidRPr="00C20CAA" w:rsidRDefault="00F646C2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C2">
        <w:rPr>
          <w:rFonts w:ascii="Times New Roman" w:hAnsi="Times New Roman" w:cs="Times New Roman"/>
          <w:sz w:val="28"/>
          <w:szCs w:val="28"/>
        </w:rPr>
        <w:t>К отношениям, связанным с перевозками пассажиров и багажа, грузов для личных, семейных, домашних или иных не связанных с осуществлением предпринимательской деятельности нужд, применяются также положения законодательства Российской Федерации о защите прав потребителей.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F43927" w:rsidRDefault="00F43927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27" w:rsidRPr="00371919" w:rsidRDefault="009E03F3" w:rsidP="00F4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Капитальный</w:t>
      </w:r>
      <w:r w:rsidR="00F43927">
        <w:rPr>
          <w:rFonts w:ascii="Times New Roman" w:hAnsi="Times New Roman"/>
          <w:sz w:val="28"/>
          <w:szCs w:val="28"/>
          <w:u w:val="single"/>
        </w:rPr>
        <w:t xml:space="preserve"> ремонт автомобильных дорог</w:t>
      </w:r>
    </w:p>
    <w:p w:rsidR="00F43927" w:rsidRPr="00C20CAA" w:rsidRDefault="00F43927" w:rsidP="00F439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3F" w:rsidRDefault="00F43927" w:rsidP="000D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F">
        <w:rPr>
          <w:rFonts w:ascii="Times New Roman" w:hAnsi="Times New Roman" w:cs="Times New Roman"/>
          <w:sz w:val="28"/>
          <w:szCs w:val="28"/>
        </w:rPr>
        <w:t>Классификация работ по капитальному ремонту автомобильных дорог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 w:rsidR="000D233F">
        <w:rPr>
          <w:rFonts w:ascii="Times New Roman" w:hAnsi="Times New Roman" w:cs="Times New Roman"/>
          <w:sz w:val="28"/>
          <w:szCs w:val="28"/>
        </w:rPr>
        <w:t xml:space="preserve">нию в сфере дорожного хозяйства. Классификация утверждена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16.11.2012 №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Классификации работ по капитальному ремонту, ремонту и содержанию автомобильных дорог"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Классификация)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233F">
        <w:rPr>
          <w:rFonts w:ascii="Times New Roman" w:hAnsi="Times New Roman" w:cs="Times New Roman"/>
          <w:sz w:val="28"/>
          <w:szCs w:val="28"/>
        </w:rPr>
        <w:t>лассификация распространяется на автомобильные дороги, расположенные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0D233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D233F">
        <w:rPr>
          <w:rFonts w:ascii="Times New Roman" w:hAnsi="Times New Roman" w:cs="Times New Roman"/>
          <w:sz w:val="28"/>
          <w:szCs w:val="28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устанавливает состав и виды работ, выполняемых при капитальном ремонте, ремонте и содержании автомобильных дорог и </w:t>
      </w:r>
      <w:r w:rsidRPr="000D233F">
        <w:rPr>
          <w:rFonts w:ascii="Times New Roman" w:hAnsi="Times New Roman" w:cs="Times New Roman"/>
          <w:sz w:val="28"/>
          <w:szCs w:val="28"/>
        </w:rPr>
        <w:lastRenderedPageBreak/>
        <w:t>предназначена для использования при планировании объемов дорожных работ, в том числе при их проектировании и формировании программ дорожных работ на краткосрочный и среднесрочный периоды.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При проведении капитального ремонта участка автомобильной дороги и (или) дорожных сооружений могут выполняться отдельные работы по ремонту и содержанию элементов автомобильной дороги и (или) дорожных сооружений, состояние которых не требует капитального ремонта, если указанные работы необходимы для приведения ремонтируемого участка в надлежащее техническое состояние.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дорог.</w:t>
      </w:r>
    </w:p>
    <w:p w:rsidR="00994933" w:rsidRDefault="00F43927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927">
        <w:rPr>
          <w:rFonts w:ascii="Times New Roman" w:hAnsi="Times New Roman" w:cs="Times New Roman"/>
          <w:sz w:val="28"/>
          <w:szCs w:val="28"/>
        </w:rPr>
        <w:t xml:space="preserve">В случаях реконструкции, капитального ремонта автомобильных дорог </w:t>
      </w:r>
      <w:r w:rsidRPr="000D233F">
        <w:rPr>
          <w:rFonts w:ascii="Times New Roman" w:hAnsi="Times New Roman" w:cs="Times New Roman"/>
          <w:sz w:val="28"/>
          <w:szCs w:val="28"/>
        </w:rPr>
        <w:t>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Содержание</w:t>
      </w:r>
      <w:r w:rsidR="00994933">
        <w:rPr>
          <w:rFonts w:ascii="Times New Roman" w:hAnsi="Times New Roman"/>
          <w:sz w:val="28"/>
          <w:szCs w:val="28"/>
          <w:u w:val="single"/>
        </w:rPr>
        <w:t xml:space="preserve"> автомобильных дорог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Содержание автомобильных дорог осуществляется в соответ</w:t>
      </w:r>
      <w:r w:rsidR="00994933" w:rsidRPr="00994933">
        <w:rPr>
          <w:rFonts w:ascii="Times New Roman" w:hAnsi="Times New Roman" w:cs="Times New Roman"/>
          <w:sz w:val="28"/>
          <w:szCs w:val="28"/>
        </w:rPr>
        <w:t>ствии с требованиями технического</w:t>
      </w:r>
      <w:r w:rsidRPr="00994933">
        <w:rPr>
          <w:rFonts w:ascii="Times New Roman" w:hAnsi="Times New Roman" w:cs="Times New Roman"/>
          <w:sz w:val="28"/>
          <w:szCs w:val="28"/>
        </w:rPr>
        <w:t xml:space="preserve"> </w:t>
      </w:r>
      <w:r w:rsidR="00994933" w:rsidRPr="0099493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Таможенного союза "Безопасность автомобильных дорог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Та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моженного союза от 18.10.2011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4933">
        <w:rPr>
          <w:rFonts w:ascii="Times New Roman" w:hAnsi="Times New Roman" w:cs="Times New Roman"/>
          <w:sz w:val="28"/>
          <w:szCs w:val="28"/>
        </w:rPr>
        <w:t xml:space="preserve"> в целях обеспечения сохранности</w:t>
      </w:r>
      <w:r w:rsidRPr="000D233F">
        <w:rPr>
          <w:rFonts w:ascii="Times New Roman" w:hAnsi="Times New Roman" w:cs="Times New Roman"/>
          <w:sz w:val="28"/>
          <w:szCs w:val="28"/>
        </w:rPr>
        <w:t xml:space="preserve">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содержанию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0D233F" w:rsidRPr="000D233F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В целях определения соответствия транспортно-эксплуатационных характеристик автомобильных дорог требованиям технических регламентов </w:t>
      </w:r>
      <w:r w:rsidRPr="00994933">
        <w:rPr>
          <w:rFonts w:ascii="Times New Roman" w:hAnsi="Times New Roman" w:cs="Times New Roman"/>
          <w:sz w:val="28"/>
          <w:szCs w:val="28"/>
        </w:rPr>
        <w:t xml:space="preserve">владельцами автомобильных дорог в порядке, </w:t>
      </w:r>
      <w:r w:rsidR="00994933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07.08.2020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порядке проведения оценки технического состояния автомобильных дорог"</w:t>
      </w:r>
      <w:r w:rsidRPr="000D233F">
        <w:rPr>
          <w:rFonts w:ascii="Times New Roman" w:hAnsi="Times New Roman" w:cs="Times New Roman"/>
          <w:sz w:val="28"/>
          <w:szCs w:val="28"/>
        </w:rPr>
        <w:t>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994933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 w:rsidR="00994933">
        <w:rPr>
          <w:rFonts w:ascii="Times New Roman" w:hAnsi="Times New Roman"/>
          <w:sz w:val="28"/>
          <w:szCs w:val="28"/>
          <w:u w:val="single"/>
        </w:rPr>
        <w:t>емонт автомобильных дорог</w:t>
      </w:r>
    </w:p>
    <w:p w:rsidR="00994933" w:rsidRPr="000D233F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осуществляется в соответствии с требованиями технических </w:t>
      </w:r>
      <w:r w:rsidRPr="00994933">
        <w:rPr>
          <w:rFonts w:ascii="Times New Roman" w:hAnsi="Times New Roman" w:cs="Times New Roman"/>
          <w:sz w:val="28"/>
          <w:szCs w:val="28"/>
        </w:rPr>
        <w:t>регламентов</w:t>
      </w:r>
      <w:r w:rsidRPr="000D233F">
        <w:rPr>
          <w:rFonts w:ascii="Times New Roman" w:hAnsi="Times New Roman" w:cs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статьей.</w:t>
      </w: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E03F3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ремонту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</w:t>
      </w:r>
      <w:r w:rsidRPr="009E03F3">
        <w:rPr>
          <w:rFonts w:ascii="Times New Roman" w:hAnsi="Times New Roman" w:cs="Times New Roman"/>
          <w:sz w:val="28"/>
          <w:szCs w:val="28"/>
        </w:rPr>
        <w:t>выработке государственной политики и нормативно-правовому регулированию в сфере дорожного хозяйства.</w:t>
      </w:r>
    </w:p>
    <w:p w:rsidR="000D233F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объезда.</w:t>
      </w:r>
    </w:p>
    <w:p w:rsidR="000D233F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Pr="00371919" w:rsidRDefault="005F3524" w:rsidP="009E0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Полоса</w:t>
      </w:r>
      <w:r w:rsidR="009E03F3">
        <w:rPr>
          <w:rFonts w:ascii="Times New Roman" w:hAnsi="Times New Roman"/>
          <w:sz w:val="28"/>
          <w:szCs w:val="28"/>
          <w:u w:val="single"/>
        </w:rPr>
        <w:t xml:space="preserve"> отвода автомобильных дорог</w:t>
      </w:r>
    </w:p>
    <w:p w:rsidR="009E03F3" w:rsidRP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территории. 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границах полосы отвода автомобильной дороги, за исключением случаев,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 xml:space="preserve">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Pr="009E03F3">
        <w:rPr>
          <w:rFonts w:ascii="Times New Roman" w:hAnsi="Times New Roman" w:cs="Times New Roman"/>
          <w:sz w:val="28"/>
          <w:szCs w:val="28"/>
        </w:rPr>
        <w:t>, запрещаются: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lastRenderedPageBreak/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64148F" w:rsidRDefault="009E03F3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 xml:space="preserve">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</w:t>
      </w:r>
      <w:r w:rsidRPr="0064148F">
        <w:rPr>
          <w:rFonts w:ascii="Times New Roman" w:hAnsi="Times New Roman" w:cs="Times New Roman"/>
          <w:sz w:val="28"/>
          <w:szCs w:val="28"/>
        </w:rPr>
        <w:t xml:space="preserve">порядке, установленном гражданским законодательством и земельным законодательством. 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8F">
        <w:rPr>
          <w:rFonts w:ascii="Times New Roman" w:hAnsi="Times New Roman" w:cs="Times New Roman"/>
          <w:sz w:val="28"/>
          <w:szCs w:val="28"/>
        </w:rPr>
        <w:t>Порядок установления и использования полос отвода автомобильных дорог местного значения может устанавливаться органом местного самоуправления.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перевозок пассажиров и багажа</w:t>
      </w:r>
      <w:r w:rsidR="00F646C2">
        <w:rPr>
          <w:rFonts w:ascii="Times New Roman" w:hAnsi="Times New Roman" w:cs="Times New Roman"/>
          <w:sz w:val="28"/>
          <w:szCs w:val="28"/>
          <w:u w:val="single"/>
        </w:rPr>
        <w:t>, грузов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транспортом, а также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>перевозок грузов автомобильным транспортом.</w:t>
      </w:r>
    </w:p>
    <w:p w:rsid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Правила перевозок пассажиров и багажа автомобильным транспортом и городским наземным электрическим транспортом представляют собой нормативные правовые акты, регулирующие порядок организации различных видов перевозок пассажиров и багажа, а также условия перевозок пассажиров и багажа и предоставления транспортных средств для таких перевозок.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Правил перевозок пассажиров и багажа автомобильным транспортом и городским наземным электрическим транспортом"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 xml:space="preserve">устанавливают порядок организации различных видов перевозок пассажиров и багажа, предусмотренных Федеральным законом </w:t>
      </w:r>
      <w:r w:rsidRPr="00C20CAA">
        <w:rPr>
          <w:rFonts w:ascii="Times New Roman" w:hAnsi="Times New Roman" w:cs="Times New Roman"/>
          <w:sz w:val="28"/>
          <w:szCs w:val="28"/>
        </w:rPr>
        <w:t xml:space="preserve">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</w:t>
      </w:r>
      <w:r w:rsidRPr="005F3524">
        <w:rPr>
          <w:rFonts w:ascii="Times New Roman" w:hAnsi="Times New Roman" w:cs="Times New Roman"/>
          <w:sz w:val="28"/>
          <w:szCs w:val="28"/>
        </w:rPr>
        <w:t>"Устав автомобильного транспорта и городского наземного электрического транспорта", в том числе требования к перевозчикам,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перевозок.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Виды перевозок пассажиров и багажа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пассажиров и багажа подразделяются на: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регулярные перевозки;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перевозки по заказам;</w:t>
      </w:r>
    </w:p>
    <w:p w:rsidR="00F646C2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перевозки легковыми такси.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оформлению и оборудованию транспортных средств и объектов транспортной инфраструктуры, используемых для перевозок пассажиров и багажа, определяются </w:t>
      </w:r>
      <w:r w:rsidRPr="00F646C2">
        <w:rPr>
          <w:rFonts w:ascii="Times New Roman" w:hAnsi="Times New Roman" w:cs="Times New Roman"/>
          <w:sz w:val="28"/>
          <w:szCs w:val="28"/>
        </w:rPr>
        <w:t>правилами</w:t>
      </w:r>
      <w:r w:rsidRPr="005F3524">
        <w:rPr>
          <w:rFonts w:ascii="Times New Roman" w:hAnsi="Times New Roman" w:cs="Times New Roman"/>
          <w:sz w:val="28"/>
          <w:szCs w:val="28"/>
        </w:rPr>
        <w:t xml:space="preserve"> перевозок пассажиров.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025" w:rsidRPr="003B1025" w:rsidRDefault="003B1025" w:rsidP="003B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46C2" w:rsidRPr="00F646C2" w:rsidRDefault="00F646C2" w:rsidP="00BD7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46C2" w:rsidRPr="00F646C2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68"/>
    <w:rsid w:val="000567CC"/>
    <w:rsid w:val="000D233F"/>
    <w:rsid w:val="003273F5"/>
    <w:rsid w:val="00352C1E"/>
    <w:rsid w:val="003B1025"/>
    <w:rsid w:val="00514C17"/>
    <w:rsid w:val="00532174"/>
    <w:rsid w:val="005F3524"/>
    <w:rsid w:val="0062668F"/>
    <w:rsid w:val="0064148F"/>
    <w:rsid w:val="006F2768"/>
    <w:rsid w:val="006F5ED2"/>
    <w:rsid w:val="009345EC"/>
    <w:rsid w:val="00994933"/>
    <w:rsid w:val="009D0C47"/>
    <w:rsid w:val="009E03F3"/>
    <w:rsid w:val="00A40157"/>
    <w:rsid w:val="00A75C0D"/>
    <w:rsid w:val="00AD4E94"/>
    <w:rsid w:val="00AE203D"/>
    <w:rsid w:val="00B06CAD"/>
    <w:rsid w:val="00B424C8"/>
    <w:rsid w:val="00BD7610"/>
    <w:rsid w:val="00BF6A49"/>
    <w:rsid w:val="00C20CAA"/>
    <w:rsid w:val="00D47CC3"/>
    <w:rsid w:val="00E93B13"/>
    <w:rsid w:val="00EB0B5D"/>
    <w:rsid w:val="00EC2DAF"/>
    <w:rsid w:val="00F31AC2"/>
    <w:rsid w:val="00F43927"/>
    <w:rsid w:val="00F462BE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6D2D"/>
  <w15:chartTrackingRefBased/>
  <w15:docId w15:val="{927124A9-948F-431E-8ADE-8B529484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2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C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F646C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dc:description/>
  <cp:lastModifiedBy>Вечер Евгений Геннадьевич</cp:lastModifiedBy>
  <cp:revision>2</cp:revision>
  <cp:lastPrinted>2021-10-06T09:46:00Z</cp:lastPrinted>
  <dcterms:created xsi:type="dcterms:W3CDTF">2025-10-02T09:16:00Z</dcterms:created>
  <dcterms:modified xsi:type="dcterms:W3CDTF">2025-10-02T09:16:00Z</dcterms:modified>
</cp:coreProperties>
</file>