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348" w:rsidRDefault="00D54348" w:rsidP="00F441C5">
      <w:pPr>
        <w:widowControl w:val="0"/>
        <w:suppressAutoHyphens/>
        <w:autoSpaceDE w:val="0"/>
        <w:jc w:val="both"/>
        <w:rPr>
          <w:b/>
          <w:bCs/>
          <w:color w:val="0070C0"/>
          <w:sz w:val="20"/>
          <w:szCs w:val="20"/>
          <w:u w:val="single"/>
        </w:rPr>
      </w:pPr>
    </w:p>
    <w:p w:rsidR="00D54348" w:rsidRPr="00D54348" w:rsidRDefault="00D54348" w:rsidP="00D54348">
      <w:pPr>
        <w:pStyle w:val="a9"/>
        <w:widowControl w:val="0"/>
        <w:suppressAutoHyphens/>
        <w:autoSpaceDE w:val="0"/>
        <w:ind w:left="1287"/>
        <w:contextualSpacing w:val="0"/>
        <w:jc w:val="right"/>
        <w:rPr>
          <w:bCs/>
          <w:sz w:val="28"/>
          <w:szCs w:val="28"/>
        </w:rPr>
      </w:pPr>
      <w:r w:rsidRPr="00D54348">
        <w:rPr>
          <w:bCs/>
          <w:sz w:val="28"/>
          <w:szCs w:val="28"/>
        </w:rPr>
        <w:t>Приложение</w:t>
      </w:r>
    </w:p>
    <w:p w:rsidR="00D54348" w:rsidRDefault="00D54348" w:rsidP="00D54348">
      <w:pPr>
        <w:pStyle w:val="a9"/>
        <w:widowControl w:val="0"/>
        <w:suppressAutoHyphens/>
        <w:autoSpaceDE w:val="0"/>
        <w:ind w:left="1287"/>
        <w:contextualSpacing w:val="0"/>
        <w:jc w:val="both"/>
        <w:rPr>
          <w:b/>
          <w:bCs/>
          <w:color w:val="0070C0"/>
          <w:sz w:val="20"/>
          <w:szCs w:val="20"/>
          <w:u w:val="single"/>
        </w:rPr>
      </w:pPr>
    </w:p>
    <w:p w:rsidR="00D54348" w:rsidRDefault="00D54348" w:rsidP="00D54348">
      <w:pPr>
        <w:pStyle w:val="a9"/>
        <w:widowControl w:val="0"/>
        <w:suppressAutoHyphens/>
        <w:autoSpaceDE w:val="0"/>
        <w:ind w:left="1287"/>
        <w:contextualSpacing w:val="0"/>
        <w:jc w:val="both"/>
        <w:rPr>
          <w:b/>
          <w:bCs/>
          <w:color w:val="0070C0"/>
          <w:sz w:val="20"/>
          <w:szCs w:val="20"/>
          <w:u w:val="single"/>
        </w:rPr>
      </w:pPr>
    </w:p>
    <w:p w:rsidR="00F441C5" w:rsidRPr="00F441C5" w:rsidRDefault="00F441C5" w:rsidP="00F441C5">
      <w:pPr>
        <w:pStyle w:val="a9"/>
        <w:widowControl w:val="0"/>
        <w:numPr>
          <w:ilvl w:val="0"/>
          <w:numId w:val="8"/>
        </w:numPr>
        <w:suppressAutoHyphens/>
        <w:autoSpaceDE w:val="0"/>
        <w:contextualSpacing w:val="0"/>
        <w:jc w:val="both"/>
        <w:rPr>
          <w:b/>
          <w:bCs/>
          <w:color w:val="0070C0"/>
          <w:sz w:val="20"/>
          <w:szCs w:val="20"/>
          <w:u w:val="single"/>
        </w:rPr>
      </w:pPr>
      <w:r w:rsidRPr="00F441C5">
        <w:rPr>
          <w:b/>
          <w:bCs/>
          <w:color w:val="0070C0"/>
          <w:sz w:val="20"/>
          <w:szCs w:val="20"/>
          <w:u w:val="single"/>
        </w:rPr>
        <w:t xml:space="preserve">ЭкспрессГарантии на электронных тендерных площадках Госзаказа </w:t>
      </w:r>
    </w:p>
    <w:p w:rsidR="00F441C5" w:rsidRPr="00F441C5" w:rsidRDefault="00F441C5" w:rsidP="00F441C5">
      <w:pPr>
        <w:pStyle w:val="a9"/>
        <w:ind w:left="1287"/>
        <w:jc w:val="both"/>
        <w:rPr>
          <w:b/>
          <w:bCs/>
          <w:color w:val="0070C0"/>
          <w:sz w:val="20"/>
          <w:szCs w:val="20"/>
          <w:u w:val="single"/>
        </w:rPr>
      </w:pPr>
      <w:r w:rsidRPr="00F441C5">
        <w:rPr>
          <w:b/>
          <w:bCs/>
          <w:color w:val="0070C0"/>
          <w:sz w:val="20"/>
          <w:szCs w:val="20"/>
          <w:u w:val="single"/>
        </w:rPr>
        <w:t>(44-ФЗ, 223-ФЗ, 185-ФЗ/615-ПП)</w:t>
      </w:r>
    </w:p>
    <w:p w:rsidR="00F441C5" w:rsidRPr="00F441C5" w:rsidRDefault="00F441C5" w:rsidP="00F441C5">
      <w:pPr>
        <w:ind w:firstLine="567"/>
        <w:jc w:val="both"/>
        <w:rPr>
          <w:b/>
          <w:bCs/>
          <w:color w:val="000000"/>
          <w:sz w:val="20"/>
          <w:szCs w:val="20"/>
          <w:u w:val="single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8080"/>
      </w:tblGrid>
      <w:tr w:rsidR="00F441C5" w:rsidRPr="00F441C5" w:rsidTr="00E658C0">
        <w:trPr>
          <w:trHeight w:val="1138"/>
        </w:trPr>
        <w:tc>
          <w:tcPr>
            <w:tcW w:w="1702" w:type="dxa"/>
            <w:vAlign w:val="center"/>
          </w:tcPr>
          <w:p w:rsidR="00F441C5" w:rsidRPr="00F441C5" w:rsidRDefault="00F441C5" w:rsidP="00D91690">
            <w:pPr>
              <w:rPr>
                <w:i/>
                <w:sz w:val="20"/>
                <w:szCs w:val="20"/>
              </w:rPr>
            </w:pPr>
            <w:r w:rsidRPr="00F441C5">
              <w:rPr>
                <w:i/>
                <w:sz w:val="20"/>
                <w:szCs w:val="20"/>
              </w:rPr>
              <w:t>Сумма лимита</w:t>
            </w:r>
          </w:p>
        </w:tc>
        <w:tc>
          <w:tcPr>
            <w:tcW w:w="8080" w:type="dxa"/>
            <w:vAlign w:val="center"/>
          </w:tcPr>
          <w:p w:rsidR="00F441C5" w:rsidRPr="00F441C5" w:rsidRDefault="00F441C5" w:rsidP="00D91690">
            <w:pPr>
              <w:rPr>
                <w:sz w:val="20"/>
                <w:szCs w:val="20"/>
              </w:rPr>
            </w:pPr>
            <w:r w:rsidRPr="00F441C5">
              <w:rPr>
                <w:sz w:val="20"/>
                <w:szCs w:val="20"/>
              </w:rPr>
              <w:t>до 250 000 000,00 руб.</w:t>
            </w:r>
          </w:p>
          <w:p w:rsidR="00F441C5" w:rsidRPr="00F441C5" w:rsidRDefault="00F441C5" w:rsidP="00D91690">
            <w:pPr>
              <w:rPr>
                <w:sz w:val="20"/>
                <w:szCs w:val="20"/>
              </w:rPr>
            </w:pPr>
            <w:r w:rsidRPr="00F441C5">
              <w:rPr>
                <w:sz w:val="20"/>
                <w:szCs w:val="20"/>
              </w:rPr>
              <w:t xml:space="preserve"> - максимальный размер отдельной банковской гарантии 100 млн. руб. (включительно)</w:t>
            </w:r>
          </w:p>
          <w:p w:rsidR="00F441C5" w:rsidRPr="00F441C5" w:rsidRDefault="00F441C5" w:rsidP="00D91690">
            <w:pPr>
              <w:rPr>
                <w:sz w:val="20"/>
                <w:szCs w:val="20"/>
              </w:rPr>
            </w:pPr>
            <w:r w:rsidRPr="00F441C5">
              <w:rPr>
                <w:sz w:val="20"/>
                <w:szCs w:val="20"/>
              </w:rPr>
              <w:t xml:space="preserve"> - в рамках лимита может быть выдано не более 150 млн. руб. крупных гарантий (более 50 млн. руб.)</w:t>
            </w:r>
          </w:p>
          <w:p w:rsidR="00F441C5" w:rsidRPr="00F441C5" w:rsidRDefault="00F441C5" w:rsidP="00D91690">
            <w:pPr>
              <w:rPr>
                <w:sz w:val="20"/>
                <w:szCs w:val="20"/>
              </w:rPr>
            </w:pPr>
            <w:r w:rsidRPr="00F441C5">
              <w:rPr>
                <w:sz w:val="20"/>
                <w:szCs w:val="20"/>
              </w:rPr>
              <w:t xml:space="preserve"> - по гарантиями на возврат аванса максимальный лимит до 10 млн. руб.</w:t>
            </w:r>
          </w:p>
        </w:tc>
      </w:tr>
      <w:tr w:rsidR="00F441C5" w:rsidRPr="00F441C5" w:rsidTr="00E658C0">
        <w:trPr>
          <w:trHeight w:val="835"/>
        </w:trPr>
        <w:tc>
          <w:tcPr>
            <w:tcW w:w="1702" w:type="dxa"/>
            <w:vAlign w:val="center"/>
          </w:tcPr>
          <w:p w:rsidR="00F441C5" w:rsidRPr="00F441C5" w:rsidRDefault="00F441C5" w:rsidP="00D91690">
            <w:pPr>
              <w:ind w:left="-107" w:right="-108"/>
              <w:jc w:val="center"/>
              <w:rPr>
                <w:i/>
                <w:sz w:val="20"/>
                <w:szCs w:val="20"/>
              </w:rPr>
            </w:pPr>
            <w:r w:rsidRPr="00F441C5">
              <w:rPr>
                <w:i/>
                <w:sz w:val="20"/>
                <w:szCs w:val="20"/>
              </w:rPr>
              <w:t>Срок Банковских гарантий</w:t>
            </w:r>
          </w:p>
        </w:tc>
        <w:tc>
          <w:tcPr>
            <w:tcW w:w="8080" w:type="dxa"/>
            <w:vAlign w:val="center"/>
          </w:tcPr>
          <w:p w:rsidR="00F441C5" w:rsidRPr="00F441C5" w:rsidRDefault="00F441C5" w:rsidP="00F441C5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num" w:pos="487"/>
              </w:tabs>
              <w:suppressAutoHyphens/>
              <w:autoSpaceDE w:val="0"/>
              <w:ind w:left="337" w:hanging="142"/>
              <w:rPr>
                <w:sz w:val="20"/>
                <w:szCs w:val="20"/>
              </w:rPr>
            </w:pPr>
            <w:r w:rsidRPr="00F441C5">
              <w:rPr>
                <w:b/>
                <w:bCs/>
                <w:sz w:val="20"/>
                <w:szCs w:val="20"/>
              </w:rPr>
              <w:t>26 мес. (вкл.)</w:t>
            </w:r>
          </w:p>
          <w:p w:rsidR="00F441C5" w:rsidRPr="00F441C5" w:rsidRDefault="00F441C5" w:rsidP="00F441C5">
            <w:pPr>
              <w:widowControl w:val="0"/>
              <w:numPr>
                <w:ilvl w:val="0"/>
                <w:numId w:val="5"/>
              </w:numPr>
              <w:tabs>
                <w:tab w:val="clear" w:pos="720"/>
                <w:tab w:val="num" w:pos="487"/>
              </w:tabs>
              <w:suppressAutoHyphens/>
              <w:autoSpaceDE w:val="0"/>
              <w:ind w:left="337" w:hanging="142"/>
              <w:rPr>
                <w:sz w:val="20"/>
                <w:szCs w:val="20"/>
              </w:rPr>
            </w:pPr>
            <w:r w:rsidRPr="00F441C5">
              <w:rPr>
                <w:sz w:val="20"/>
                <w:szCs w:val="20"/>
              </w:rPr>
              <w:t>без ограничений</w:t>
            </w:r>
          </w:p>
          <w:p w:rsidR="00F441C5" w:rsidRPr="00F441C5" w:rsidRDefault="00F441C5" w:rsidP="00F441C5">
            <w:pPr>
              <w:widowControl w:val="0"/>
              <w:numPr>
                <w:ilvl w:val="0"/>
                <w:numId w:val="6"/>
              </w:numPr>
              <w:tabs>
                <w:tab w:val="clear" w:pos="720"/>
              </w:tabs>
              <w:suppressAutoHyphens/>
              <w:autoSpaceDE w:val="0"/>
              <w:ind w:left="337" w:hanging="142"/>
              <w:rPr>
                <w:sz w:val="20"/>
                <w:szCs w:val="20"/>
              </w:rPr>
            </w:pPr>
            <w:r w:rsidRPr="00F441C5">
              <w:rPr>
                <w:b/>
                <w:bCs/>
                <w:sz w:val="20"/>
                <w:szCs w:val="20"/>
              </w:rPr>
              <w:t>38 мес. (вкл.):</w:t>
            </w:r>
          </w:p>
          <w:p w:rsidR="00F441C5" w:rsidRPr="00F441C5" w:rsidRDefault="00F441C5" w:rsidP="00F441C5">
            <w:pPr>
              <w:widowControl w:val="0"/>
              <w:numPr>
                <w:ilvl w:val="0"/>
                <w:numId w:val="7"/>
              </w:numPr>
              <w:tabs>
                <w:tab w:val="clear" w:pos="720"/>
              </w:tabs>
              <w:suppressAutoHyphens/>
              <w:autoSpaceDE w:val="0"/>
              <w:ind w:left="337" w:hanging="142"/>
              <w:rPr>
                <w:sz w:val="20"/>
                <w:szCs w:val="20"/>
              </w:rPr>
            </w:pPr>
            <w:r w:rsidRPr="00F441C5">
              <w:rPr>
                <w:sz w:val="20"/>
                <w:szCs w:val="20"/>
              </w:rPr>
              <w:t>по гарантиям в рамках исполнения государственного оборонного заказа (по 275-ФЗ);</w:t>
            </w:r>
          </w:p>
          <w:p w:rsidR="00F441C5" w:rsidRPr="00F441C5" w:rsidRDefault="00F441C5" w:rsidP="00F441C5">
            <w:pPr>
              <w:widowControl w:val="0"/>
              <w:numPr>
                <w:ilvl w:val="0"/>
                <w:numId w:val="7"/>
              </w:numPr>
              <w:tabs>
                <w:tab w:val="clear" w:pos="720"/>
              </w:tabs>
              <w:suppressAutoHyphens/>
              <w:autoSpaceDE w:val="0"/>
              <w:ind w:left="337" w:hanging="142"/>
              <w:rPr>
                <w:sz w:val="20"/>
                <w:szCs w:val="20"/>
              </w:rPr>
            </w:pPr>
            <w:r w:rsidRPr="00F441C5">
              <w:rPr>
                <w:sz w:val="20"/>
                <w:szCs w:val="20"/>
              </w:rPr>
              <w:t>по гарантиям гарантийного периода за исключением ОКПД 2 по закупке Строительство (41-43) и поставка, монтаж, ремонт машин и оборудования (26-30, 33, 45,95)</w:t>
            </w:r>
          </w:p>
          <w:p w:rsidR="00F441C5" w:rsidRPr="00F441C5" w:rsidRDefault="00F441C5" w:rsidP="00D91690">
            <w:pPr>
              <w:tabs>
                <w:tab w:val="num" w:pos="487"/>
              </w:tabs>
              <w:rPr>
                <w:sz w:val="20"/>
                <w:szCs w:val="20"/>
              </w:rPr>
            </w:pPr>
            <w:r w:rsidRPr="00F441C5">
              <w:rPr>
                <w:sz w:val="20"/>
                <w:szCs w:val="20"/>
              </w:rPr>
              <w:t>При предоставлении гарантии гарантийного периода со сроком свыше 26 месяцев обязательно предоставление письма от Бенефициара об отсутствии претензий по выполненному контракту.</w:t>
            </w:r>
          </w:p>
        </w:tc>
      </w:tr>
      <w:tr w:rsidR="00F441C5" w:rsidRPr="00F441C5" w:rsidTr="00E658C0">
        <w:trPr>
          <w:trHeight w:val="982"/>
        </w:trPr>
        <w:tc>
          <w:tcPr>
            <w:tcW w:w="1702" w:type="dxa"/>
            <w:vAlign w:val="center"/>
          </w:tcPr>
          <w:p w:rsidR="00F441C5" w:rsidRPr="00F441C5" w:rsidRDefault="00F441C5" w:rsidP="00D91690">
            <w:pPr>
              <w:rPr>
                <w:i/>
                <w:sz w:val="20"/>
                <w:szCs w:val="20"/>
              </w:rPr>
            </w:pPr>
            <w:r w:rsidRPr="00F441C5">
              <w:rPr>
                <w:i/>
                <w:sz w:val="20"/>
                <w:szCs w:val="20"/>
              </w:rPr>
              <w:t>Виды Банковских гарантий</w:t>
            </w:r>
          </w:p>
        </w:tc>
        <w:tc>
          <w:tcPr>
            <w:tcW w:w="8080" w:type="dxa"/>
            <w:vAlign w:val="center"/>
          </w:tcPr>
          <w:p w:rsidR="00F441C5" w:rsidRPr="00F441C5" w:rsidRDefault="00F441C5" w:rsidP="00F441C5">
            <w:pPr>
              <w:widowControl w:val="0"/>
              <w:numPr>
                <w:ilvl w:val="0"/>
                <w:numId w:val="2"/>
              </w:numPr>
              <w:tabs>
                <w:tab w:val="clear" w:pos="720"/>
              </w:tabs>
              <w:suppressAutoHyphens/>
              <w:autoSpaceDE w:val="0"/>
              <w:ind w:left="65" w:hanging="130"/>
              <w:rPr>
                <w:rFonts w:eastAsia="Calibri"/>
                <w:color w:val="000000"/>
                <w:sz w:val="20"/>
                <w:szCs w:val="20"/>
              </w:rPr>
            </w:pPr>
            <w:r w:rsidRPr="00F441C5">
              <w:rPr>
                <w:rFonts w:eastAsia="Calibri"/>
                <w:color w:val="000000"/>
                <w:sz w:val="20"/>
                <w:szCs w:val="20"/>
              </w:rPr>
              <w:t>тендерная гарантия;</w:t>
            </w:r>
          </w:p>
          <w:p w:rsidR="00F441C5" w:rsidRPr="00F441C5" w:rsidRDefault="00F441C5" w:rsidP="00F441C5">
            <w:pPr>
              <w:widowControl w:val="0"/>
              <w:numPr>
                <w:ilvl w:val="0"/>
                <w:numId w:val="2"/>
              </w:numPr>
              <w:tabs>
                <w:tab w:val="clear" w:pos="720"/>
              </w:tabs>
              <w:suppressAutoHyphens/>
              <w:autoSpaceDE w:val="0"/>
              <w:ind w:left="65" w:hanging="130"/>
              <w:rPr>
                <w:rFonts w:eastAsia="Calibri"/>
                <w:color w:val="000000"/>
                <w:sz w:val="20"/>
                <w:szCs w:val="20"/>
              </w:rPr>
            </w:pPr>
            <w:r w:rsidRPr="00F441C5">
              <w:rPr>
                <w:rFonts w:eastAsia="Calibri"/>
                <w:color w:val="000000"/>
                <w:sz w:val="20"/>
                <w:szCs w:val="20"/>
              </w:rPr>
              <w:t>гарантия исполнения обязательств по контракту;</w:t>
            </w:r>
          </w:p>
          <w:p w:rsidR="00F441C5" w:rsidRPr="00F441C5" w:rsidRDefault="00F441C5" w:rsidP="00F441C5">
            <w:pPr>
              <w:widowControl w:val="0"/>
              <w:numPr>
                <w:ilvl w:val="0"/>
                <w:numId w:val="2"/>
              </w:numPr>
              <w:tabs>
                <w:tab w:val="clear" w:pos="720"/>
              </w:tabs>
              <w:suppressAutoHyphens/>
              <w:autoSpaceDE w:val="0"/>
              <w:ind w:left="65" w:hanging="130"/>
              <w:rPr>
                <w:rFonts w:eastAsia="Calibri"/>
                <w:color w:val="000000"/>
                <w:sz w:val="20"/>
                <w:szCs w:val="20"/>
              </w:rPr>
            </w:pPr>
            <w:r w:rsidRPr="00F441C5">
              <w:rPr>
                <w:rFonts w:eastAsia="Calibri"/>
                <w:color w:val="000000"/>
                <w:sz w:val="20"/>
                <w:szCs w:val="20"/>
              </w:rPr>
              <w:t>гарантия возврата аванса.</w:t>
            </w:r>
          </w:p>
          <w:p w:rsidR="00F441C5" w:rsidRPr="00F441C5" w:rsidRDefault="00F441C5" w:rsidP="00F441C5">
            <w:pPr>
              <w:widowControl w:val="0"/>
              <w:numPr>
                <w:ilvl w:val="0"/>
                <w:numId w:val="2"/>
              </w:numPr>
              <w:tabs>
                <w:tab w:val="clear" w:pos="720"/>
              </w:tabs>
              <w:suppressAutoHyphens/>
              <w:autoSpaceDE w:val="0"/>
              <w:ind w:left="65" w:hanging="130"/>
              <w:rPr>
                <w:rFonts w:eastAsia="Calibri"/>
                <w:color w:val="000000"/>
                <w:sz w:val="20"/>
                <w:szCs w:val="20"/>
              </w:rPr>
            </w:pPr>
            <w:r w:rsidRPr="00F441C5">
              <w:rPr>
                <w:rFonts w:eastAsia="Calibri"/>
                <w:color w:val="000000"/>
                <w:sz w:val="20"/>
                <w:szCs w:val="20"/>
              </w:rPr>
              <w:t>гарантия, обеспечивающая обязательства в гарантийный период.</w:t>
            </w:r>
          </w:p>
        </w:tc>
      </w:tr>
      <w:tr w:rsidR="00F441C5" w:rsidRPr="00F441C5" w:rsidTr="00E658C0">
        <w:trPr>
          <w:trHeight w:val="1303"/>
        </w:trPr>
        <w:tc>
          <w:tcPr>
            <w:tcW w:w="1702" w:type="dxa"/>
            <w:vAlign w:val="center"/>
          </w:tcPr>
          <w:p w:rsidR="00F441C5" w:rsidRPr="00F441C5" w:rsidRDefault="00F441C5" w:rsidP="00D91690">
            <w:pPr>
              <w:rPr>
                <w:i/>
                <w:sz w:val="20"/>
                <w:szCs w:val="20"/>
              </w:rPr>
            </w:pPr>
            <w:r w:rsidRPr="00F441C5">
              <w:rPr>
                <w:i/>
                <w:sz w:val="20"/>
                <w:szCs w:val="20"/>
              </w:rPr>
              <w:t>Бенефициары</w:t>
            </w:r>
          </w:p>
        </w:tc>
        <w:tc>
          <w:tcPr>
            <w:tcW w:w="8080" w:type="dxa"/>
            <w:vAlign w:val="center"/>
          </w:tcPr>
          <w:p w:rsidR="00F441C5" w:rsidRPr="00F441C5" w:rsidRDefault="00F441C5" w:rsidP="00F441C5">
            <w:pPr>
              <w:widowControl w:val="0"/>
              <w:numPr>
                <w:ilvl w:val="0"/>
                <w:numId w:val="3"/>
              </w:numPr>
              <w:tabs>
                <w:tab w:val="clear" w:pos="720"/>
              </w:tabs>
              <w:suppressAutoHyphens/>
              <w:autoSpaceDE w:val="0"/>
              <w:ind w:left="171" w:hanging="216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F441C5">
              <w:rPr>
                <w:rFonts w:eastAsia="Calibri"/>
                <w:color w:val="000000"/>
                <w:sz w:val="20"/>
                <w:szCs w:val="20"/>
              </w:rPr>
              <w:t>Государственные, муниципальные заказчики, бюджетные учреждения, государственные компании и их дочерние организации, и иные предприятия осуществляющие закупки в рамках законов 44-ФЗ и 223-ФЗ;</w:t>
            </w:r>
          </w:p>
          <w:p w:rsidR="00F441C5" w:rsidRPr="00F441C5" w:rsidRDefault="00F441C5" w:rsidP="00F441C5">
            <w:pPr>
              <w:widowControl w:val="0"/>
              <w:numPr>
                <w:ilvl w:val="0"/>
                <w:numId w:val="3"/>
              </w:numPr>
              <w:tabs>
                <w:tab w:val="clear" w:pos="720"/>
              </w:tabs>
              <w:suppressAutoHyphens/>
              <w:autoSpaceDE w:val="0"/>
              <w:ind w:left="171" w:hanging="216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F441C5">
              <w:rPr>
                <w:rFonts w:eastAsia="Calibri"/>
                <w:color w:val="000000"/>
                <w:sz w:val="20"/>
                <w:szCs w:val="20"/>
              </w:rPr>
              <w:t>Некоммерческие организации/ Фонды капитального ремонта МКД / Операторы ЖКХ, осуществляющие закупки в рамках 185-ФЗ, 615пп</w:t>
            </w:r>
          </w:p>
        </w:tc>
      </w:tr>
      <w:tr w:rsidR="00F441C5" w:rsidRPr="00F441C5" w:rsidTr="00E658C0">
        <w:trPr>
          <w:trHeight w:val="383"/>
        </w:trPr>
        <w:tc>
          <w:tcPr>
            <w:tcW w:w="1702" w:type="dxa"/>
            <w:vAlign w:val="center"/>
          </w:tcPr>
          <w:p w:rsidR="00F441C5" w:rsidRPr="00F441C5" w:rsidRDefault="00F441C5" w:rsidP="00D91690">
            <w:pPr>
              <w:rPr>
                <w:i/>
                <w:sz w:val="20"/>
                <w:szCs w:val="20"/>
              </w:rPr>
            </w:pPr>
            <w:r w:rsidRPr="00F441C5">
              <w:rPr>
                <w:i/>
                <w:sz w:val="20"/>
                <w:szCs w:val="20"/>
              </w:rPr>
              <w:t>Обеспечение</w:t>
            </w:r>
          </w:p>
        </w:tc>
        <w:tc>
          <w:tcPr>
            <w:tcW w:w="8080" w:type="dxa"/>
            <w:vAlign w:val="center"/>
          </w:tcPr>
          <w:p w:rsidR="00F441C5" w:rsidRPr="00F441C5" w:rsidRDefault="00F441C5" w:rsidP="00D91690">
            <w:pPr>
              <w:ind w:left="-39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F441C5">
              <w:rPr>
                <w:rFonts w:eastAsia="Calibri"/>
                <w:color w:val="000000"/>
                <w:sz w:val="20"/>
                <w:szCs w:val="20"/>
              </w:rPr>
              <w:t xml:space="preserve"> не требуется</w:t>
            </w:r>
          </w:p>
        </w:tc>
      </w:tr>
      <w:tr w:rsidR="00F441C5" w:rsidRPr="00F441C5" w:rsidTr="00E658C0">
        <w:trPr>
          <w:trHeight w:val="383"/>
        </w:trPr>
        <w:tc>
          <w:tcPr>
            <w:tcW w:w="1702" w:type="dxa"/>
            <w:vAlign w:val="center"/>
          </w:tcPr>
          <w:p w:rsidR="00F441C5" w:rsidRPr="00F441C5" w:rsidRDefault="00F441C5" w:rsidP="00D91690">
            <w:pPr>
              <w:rPr>
                <w:i/>
                <w:sz w:val="20"/>
                <w:szCs w:val="20"/>
              </w:rPr>
            </w:pPr>
            <w:r w:rsidRPr="00F441C5">
              <w:rPr>
                <w:i/>
                <w:sz w:val="20"/>
                <w:szCs w:val="20"/>
              </w:rPr>
              <w:t>Комиссия за выдачу банковской гарантии</w:t>
            </w:r>
          </w:p>
        </w:tc>
        <w:tc>
          <w:tcPr>
            <w:tcW w:w="8080" w:type="dxa"/>
            <w:vAlign w:val="center"/>
          </w:tcPr>
          <w:p w:rsidR="00F441C5" w:rsidRPr="00F441C5" w:rsidRDefault="00F441C5" w:rsidP="00D91690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F441C5">
              <w:rPr>
                <w:rFonts w:eastAsia="Calibri"/>
                <w:color w:val="000000"/>
                <w:sz w:val="20"/>
                <w:szCs w:val="20"/>
              </w:rPr>
              <w:t>от 2% годовых, устанавливается индивидуально, исходя из суммы гарантии и возможности заведения выручки по контракту на расчетный счет в ПСБ*</w:t>
            </w:r>
          </w:p>
          <w:p w:rsidR="00F441C5" w:rsidRPr="00F441C5" w:rsidRDefault="00F441C5" w:rsidP="00D91690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F441C5">
              <w:rPr>
                <w:rFonts w:eastAsia="Calibri"/>
                <w:color w:val="FF0000"/>
                <w:sz w:val="20"/>
                <w:szCs w:val="20"/>
              </w:rPr>
              <w:t xml:space="preserve">*со скидкой </w:t>
            </w:r>
            <w:r>
              <w:rPr>
                <w:rFonts w:eastAsia="Calibri"/>
                <w:color w:val="FF0000"/>
                <w:sz w:val="20"/>
                <w:szCs w:val="20"/>
              </w:rPr>
              <w:t xml:space="preserve">до </w:t>
            </w:r>
            <w:r w:rsidRPr="00F441C5">
              <w:rPr>
                <w:rFonts w:eastAsia="Calibri"/>
                <w:color w:val="FF0000"/>
                <w:sz w:val="20"/>
                <w:szCs w:val="20"/>
              </w:rPr>
              <w:t>30% от стандартных тарифов Банка</w:t>
            </w:r>
          </w:p>
        </w:tc>
      </w:tr>
    </w:tbl>
    <w:p w:rsidR="00E658C0" w:rsidRPr="00F441C5" w:rsidRDefault="00E658C0" w:rsidP="00F441C5">
      <w:pPr>
        <w:ind w:firstLine="567"/>
        <w:jc w:val="both"/>
        <w:rPr>
          <w:b/>
          <w:sz w:val="20"/>
          <w:szCs w:val="20"/>
          <w:u w:val="single"/>
        </w:rPr>
      </w:pPr>
    </w:p>
    <w:p w:rsidR="00F441C5" w:rsidRPr="00F441C5" w:rsidRDefault="00F441C5" w:rsidP="00F441C5">
      <w:pPr>
        <w:pStyle w:val="a9"/>
        <w:widowControl w:val="0"/>
        <w:numPr>
          <w:ilvl w:val="0"/>
          <w:numId w:val="8"/>
        </w:numPr>
        <w:suppressAutoHyphens/>
        <w:autoSpaceDE w:val="0"/>
        <w:contextualSpacing w:val="0"/>
        <w:jc w:val="both"/>
        <w:rPr>
          <w:b/>
          <w:bCs/>
          <w:color w:val="0070C0"/>
          <w:sz w:val="20"/>
          <w:szCs w:val="20"/>
          <w:u w:val="single"/>
        </w:rPr>
      </w:pPr>
      <w:r w:rsidRPr="00F441C5">
        <w:rPr>
          <w:b/>
          <w:bCs/>
          <w:color w:val="0070C0"/>
          <w:sz w:val="20"/>
          <w:szCs w:val="20"/>
          <w:u w:val="single"/>
        </w:rPr>
        <w:t>Банковские гарантии и кредитование в рамках программы «ПСБ Госзаказ +»:</w:t>
      </w:r>
    </w:p>
    <w:p w:rsidR="00F441C5" w:rsidRPr="00F441C5" w:rsidRDefault="00F441C5" w:rsidP="00F441C5">
      <w:pPr>
        <w:ind w:firstLine="567"/>
        <w:jc w:val="both"/>
        <w:rPr>
          <w:sz w:val="20"/>
          <w:szCs w:val="20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7"/>
        <w:gridCol w:w="8246"/>
      </w:tblGrid>
      <w:tr w:rsidR="00F441C5" w:rsidRPr="00F441C5" w:rsidTr="00E658C0">
        <w:trPr>
          <w:trHeight w:val="820"/>
        </w:trPr>
        <w:tc>
          <w:tcPr>
            <w:tcW w:w="1677" w:type="dxa"/>
            <w:vAlign w:val="center"/>
          </w:tcPr>
          <w:p w:rsidR="00F441C5" w:rsidRPr="00F441C5" w:rsidRDefault="00F441C5" w:rsidP="00D91690">
            <w:pPr>
              <w:rPr>
                <w:i/>
                <w:sz w:val="20"/>
                <w:szCs w:val="20"/>
              </w:rPr>
            </w:pPr>
            <w:r w:rsidRPr="00F441C5">
              <w:rPr>
                <w:i/>
                <w:sz w:val="20"/>
                <w:szCs w:val="20"/>
              </w:rPr>
              <w:t>Сумма лимита</w:t>
            </w:r>
          </w:p>
        </w:tc>
        <w:tc>
          <w:tcPr>
            <w:tcW w:w="8246" w:type="dxa"/>
            <w:vAlign w:val="center"/>
          </w:tcPr>
          <w:p w:rsidR="00F441C5" w:rsidRPr="00F441C5" w:rsidRDefault="00F441C5" w:rsidP="00D91690">
            <w:pPr>
              <w:rPr>
                <w:sz w:val="20"/>
                <w:szCs w:val="20"/>
              </w:rPr>
            </w:pPr>
            <w:r w:rsidRPr="00F441C5">
              <w:rPr>
                <w:sz w:val="20"/>
                <w:szCs w:val="20"/>
              </w:rPr>
              <w:t>до 350 000 000,00 руб.</w:t>
            </w:r>
          </w:p>
          <w:p w:rsidR="00F441C5" w:rsidRPr="00F441C5" w:rsidRDefault="00F441C5" w:rsidP="00D91690">
            <w:pPr>
              <w:rPr>
                <w:sz w:val="20"/>
                <w:szCs w:val="20"/>
              </w:rPr>
            </w:pPr>
            <w:r w:rsidRPr="00F441C5">
              <w:rPr>
                <w:sz w:val="20"/>
                <w:szCs w:val="20"/>
              </w:rPr>
              <w:t xml:space="preserve">*при этом кредитование на пополнение оборотных средств для целей исполнения контракта </w:t>
            </w:r>
          </w:p>
          <w:p w:rsidR="00F441C5" w:rsidRPr="00F441C5" w:rsidRDefault="00F441C5" w:rsidP="00D91690">
            <w:pPr>
              <w:rPr>
                <w:sz w:val="20"/>
                <w:szCs w:val="20"/>
              </w:rPr>
            </w:pPr>
            <w:r w:rsidRPr="00F441C5">
              <w:rPr>
                <w:sz w:val="20"/>
                <w:szCs w:val="20"/>
              </w:rPr>
              <w:t>не более 100 000 000 руб.</w:t>
            </w:r>
          </w:p>
        </w:tc>
      </w:tr>
      <w:tr w:rsidR="00F441C5" w:rsidRPr="00F441C5" w:rsidTr="00E658C0">
        <w:trPr>
          <w:trHeight w:val="313"/>
        </w:trPr>
        <w:tc>
          <w:tcPr>
            <w:tcW w:w="1677" w:type="dxa"/>
            <w:vAlign w:val="center"/>
          </w:tcPr>
          <w:p w:rsidR="00F441C5" w:rsidRPr="00F441C5" w:rsidRDefault="00F441C5" w:rsidP="00D91690">
            <w:pPr>
              <w:ind w:right="-108"/>
              <w:rPr>
                <w:i/>
                <w:sz w:val="20"/>
                <w:szCs w:val="20"/>
              </w:rPr>
            </w:pPr>
            <w:r w:rsidRPr="00F441C5">
              <w:rPr>
                <w:i/>
                <w:sz w:val="20"/>
                <w:szCs w:val="20"/>
              </w:rPr>
              <w:t>Срок Банковских гарантий</w:t>
            </w:r>
          </w:p>
        </w:tc>
        <w:tc>
          <w:tcPr>
            <w:tcW w:w="8246" w:type="dxa"/>
            <w:vAlign w:val="center"/>
          </w:tcPr>
          <w:p w:rsidR="00F441C5" w:rsidRPr="00F441C5" w:rsidRDefault="00F441C5" w:rsidP="00D91690">
            <w:pPr>
              <w:rPr>
                <w:sz w:val="20"/>
                <w:szCs w:val="20"/>
              </w:rPr>
            </w:pPr>
            <w:r w:rsidRPr="00F441C5">
              <w:rPr>
                <w:sz w:val="20"/>
                <w:szCs w:val="20"/>
              </w:rPr>
              <w:t xml:space="preserve">до 60 мес. </w:t>
            </w:r>
          </w:p>
        </w:tc>
      </w:tr>
      <w:tr w:rsidR="00F441C5" w:rsidRPr="00F441C5" w:rsidTr="00E658C0">
        <w:trPr>
          <w:trHeight w:val="1064"/>
        </w:trPr>
        <w:tc>
          <w:tcPr>
            <w:tcW w:w="1677" w:type="dxa"/>
            <w:vAlign w:val="center"/>
          </w:tcPr>
          <w:p w:rsidR="00F441C5" w:rsidRPr="00F441C5" w:rsidRDefault="00F441C5" w:rsidP="00D91690">
            <w:pPr>
              <w:rPr>
                <w:i/>
                <w:sz w:val="20"/>
                <w:szCs w:val="20"/>
              </w:rPr>
            </w:pPr>
            <w:r w:rsidRPr="00F441C5">
              <w:rPr>
                <w:i/>
                <w:sz w:val="20"/>
                <w:szCs w:val="20"/>
              </w:rPr>
              <w:t>Виды Банковских гарантий</w:t>
            </w:r>
          </w:p>
        </w:tc>
        <w:tc>
          <w:tcPr>
            <w:tcW w:w="8246" w:type="dxa"/>
            <w:vAlign w:val="center"/>
          </w:tcPr>
          <w:p w:rsidR="00F441C5" w:rsidRPr="00F441C5" w:rsidRDefault="00F441C5" w:rsidP="00F441C5">
            <w:pPr>
              <w:widowControl w:val="0"/>
              <w:numPr>
                <w:ilvl w:val="0"/>
                <w:numId w:val="2"/>
              </w:numPr>
              <w:tabs>
                <w:tab w:val="clear" w:pos="720"/>
              </w:tabs>
              <w:suppressAutoHyphens/>
              <w:autoSpaceDE w:val="0"/>
              <w:ind w:left="65" w:hanging="130"/>
              <w:rPr>
                <w:rFonts w:eastAsia="Calibri"/>
                <w:color w:val="000000"/>
                <w:sz w:val="20"/>
                <w:szCs w:val="20"/>
              </w:rPr>
            </w:pPr>
            <w:r w:rsidRPr="00F441C5">
              <w:rPr>
                <w:rFonts w:eastAsia="Calibri"/>
                <w:color w:val="000000"/>
                <w:sz w:val="20"/>
                <w:szCs w:val="20"/>
              </w:rPr>
              <w:t>тендерная гарантия;</w:t>
            </w:r>
          </w:p>
          <w:p w:rsidR="00F441C5" w:rsidRPr="00F441C5" w:rsidRDefault="00F441C5" w:rsidP="00F441C5">
            <w:pPr>
              <w:widowControl w:val="0"/>
              <w:numPr>
                <w:ilvl w:val="0"/>
                <w:numId w:val="2"/>
              </w:numPr>
              <w:tabs>
                <w:tab w:val="clear" w:pos="720"/>
              </w:tabs>
              <w:suppressAutoHyphens/>
              <w:autoSpaceDE w:val="0"/>
              <w:ind w:left="65" w:hanging="130"/>
              <w:rPr>
                <w:rFonts w:eastAsia="Calibri"/>
                <w:color w:val="000000"/>
                <w:sz w:val="20"/>
                <w:szCs w:val="20"/>
              </w:rPr>
            </w:pPr>
            <w:r w:rsidRPr="00F441C5">
              <w:rPr>
                <w:rFonts w:eastAsia="Calibri"/>
                <w:color w:val="000000"/>
                <w:sz w:val="20"/>
                <w:szCs w:val="20"/>
              </w:rPr>
              <w:t>гарантия исполнения обязательств по контракту;</w:t>
            </w:r>
          </w:p>
          <w:p w:rsidR="00F441C5" w:rsidRPr="00F441C5" w:rsidRDefault="00F441C5" w:rsidP="00F441C5">
            <w:pPr>
              <w:widowControl w:val="0"/>
              <w:numPr>
                <w:ilvl w:val="0"/>
                <w:numId w:val="2"/>
              </w:numPr>
              <w:tabs>
                <w:tab w:val="clear" w:pos="720"/>
              </w:tabs>
              <w:suppressAutoHyphens/>
              <w:autoSpaceDE w:val="0"/>
              <w:ind w:left="65" w:hanging="130"/>
              <w:rPr>
                <w:rFonts w:eastAsia="Calibri"/>
                <w:color w:val="000000"/>
                <w:sz w:val="20"/>
                <w:szCs w:val="20"/>
              </w:rPr>
            </w:pPr>
            <w:r w:rsidRPr="00F441C5">
              <w:rPr>
                <w:rFonts w:eastAsia="Calibri"/>
                <w:color w:val="000000"/>
                <w:sz w:val="20"/>
                <w:szCs w:val="20"/>
              </w:rPr>
              <w:t>гарантия возврата аванса.</w:t>
            </w:r>
          </w:p>
          <w:p w:rsidR="00F441C5" w:rsidRPr="00F441C5" w:rsidRDefault="00F441C5" w:rsidP="00F441C5">
            <w:pPr>
              <w:widowControl w:val="0"/>
              <w:numPr>
                <w:ilvl w:val="0"/>
                <w:numId w:val="2"/>
              </w:numPr>
              <w:tabs>
                <w:tab w:val="clear" w:pos="720"/>
              </w:tabs>
              <w:suppressAutoHyphens/>
              <w:autoSpaceDE w:val="0"/>
              <w:ind w:left="65" w:hanging="130"/>
              <w:rPr>
                <w:rFonts w:eastAsia="Calibri"/>
                <w:color w:val="000000"/>
                <w:sz w:val="20"/>
                <w:szCs w:val="20"/>
              </w:rPr>
            </w:pPr>
            <w:r w:rsidRPr="00F441C5">
              <w:rPr>
                <w:rFonts w:eastAsia="Calibri"/>
                <w:color w:val="000000"/>
                <w:sz w:val="20"/>
                <w:szCs w:val="20"/>
              </w:rPr>
              <w:t>гарантия, обеспечивающая обязательства в гарантийный период.</w:t>
            </w:r>
          </w:p>
        </w:tc>
      </w:tr>
      <w:tr w:rsidR="00F441C5" w:rsidRPr="00F441C5" w:rsidTr="00E658C0">
        <w:trPr>
          <w:trHeight w:val="898"/>
        </w:trPr>
        <w:tc>
          <w:tcPr>
            <w:tcW w:w="1677" w:type="dxa"/>
            <w:vAlign w:val="center"/>
          </w:tcPr>
          <w:p w:rsidR="00F441C5" w:rsidRPr="00F441C5" w:rsidRDefault="00F441C5" w:rsidP="00D91690">
            <w:pPr>
              <w:rPr>
                <w:i/>
                <w:sz w:val="20"/>
                <w:szCs w:val="20"/>
              </w:rPr>
            </w:pPr>
            <w:r w:rsidRPr="00F441C5">
              <w:rPr>
                <w:i/>
                <w:sz w:val="20"/>
                <w:szCs w:val="20"/>
              </w:rPr>
              <w:t>Виды кредитования</w:t>
            </w:r>
          </w:p>
        </w:tc>
        <w:tc>
          <w:tcPr>
            <w:tcW w:w="8246" w:type="dxa"/>
            <w:vAlign w:val="center"/>
          </w:tcPr>
          <w:p w:rsidR="00F441C5" w:rsidRPr="00F441C5" w:rsidRDefault="00F441C5" w:rsidP="00F441C5">
            <w:pPr>
              <w:widowControl w:val="0"/>
              <w:numPr>
                <w:ilvl w:val="0"/>
                <w:numId w:val="2"/>
              </w:numPr>
              <w:tabs>
                <w:tab w:val="clear" w:pos="720"/>
              </w:tabs>
              <w:suppressAutoHyphens/>
              <w:autoSpaceDE w:val="0"/>
              <w:ind w:left="65" w:hanging="130"/>
              <w:rPr>
                <w:rFonts w:eastAsia="Calibri"/>
                <w:color w:val="000000"/>
                <w:sz w:val="20"/>
                <w:szCs w:val="20"/>
              </w:rPr>
            </w:pPr>
            <w:r w:rsidRPr="00F441C5">
              <w:rPr>
                <w:rFonts w:eastAsia="Calibri"/>
                <w:color w:val="000000"/>
                <w:sz w:val="20"/>
                <w:szCs w:val="20"/>
              </w:rPr>
              <w:t>единовременный кредит</w:t>
            </w:r>
          </w:p>
          <w:p w:rsidR="00F441C5" w:rsidRPr="00F441C5" w:rsidRDefault="00F441C5" w:rsidP="00F441C5">
            <w:pPr>
              <w:widowControl w:val="0"/>
              <w:numPr>
                <w:ilvl w:val="0"/>
                <w:numId w:val="2"/>
              </w:numPr>
              <w:tabs>
                <w:tab w:val="clear" w:pos="720"/>
              </w:tabs>
              <w:suppressAutoHyphens/>
              <w:autoSpaceDE w:val="0"/>
              <w:ind w:left="65" w:hanging="130"/>
              <w:rPr>
                <w:rFonts w:eastAsia="Calibri"/>
                <w:color w:val="000000"/>
                <w:sz w:val="20"/>
                <w:szCs w:val="20"/>
              </w:rPr>
            </w:pPr>
            <w:r w:rsidRPr="00F441C5">
              <w:rPr>
                <w:rFonts w:eastAsia="Calibri"/>
                <w:color w:val="000000"/>
                <w:sz w:val="20"/>
                <w:szCs w:val="20"/>
              </w:rPr>
              <w:t>возобновляемая кредитная линия  (ВКЛ) / кредитная линия с лимитом задолженности</w:t>
            </w:r>
          </w:p>
          <w:p w:rsidR="00F441C5" w:rsidRPr="00F441C5" w:rsidRDefault="00F441C5" w:rsidP="00F441C5">
            <w:pPr>
              <w:widowControl w:val="0"/>
              <w:numPr>
                <w:ilvl w:val="0"/>
                <w:numId w:val="2"/>
              </w:numPr>
              <w:tabs>
                <w:tab w:val="clear" w:pos="720"/>
              </w:tabs>
              <w:suppressAutoHyphens/>
              <w:autoSpaceDE w:val="0"/>
              <w:ind w:left="65" w:hanging="130"/>
              <w:rPr>
                <w:rFonts w:eastAsia="Calibri"/>
                <w:color w:val="000000"/>
                <w:sz w:val="20"/>
                <w:szCs w:val="20"/>
              </w:rPr>
            </w:pPr>
            <w:r w:rsidRPr="00F441C5">
              <w:rPr>
                <w:rFonts w:eastAsia="Calibri"/>
                <w:color w:val="000000"/>
                <w:sz w:val="20"/>
                <w:szCs w:val="20"/>
              </w:rPr>
              <w:t>невозобновляемая кредитная линия (НКЛ) / кредитная линия с лимитом выдачи</w:t>
            </w:r>
          </w:p>
          <w:p w:rsidR="00F441C5" w:rsidRPr="00F441C5" w:rsidRDefault="00F441C5" w:rsidP="00D91690">
            <w:pPr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F441C5">
              <w:rPr>
                <w:rFonts w:eastAsia="Calibri"/>
                <w:color w:val="000000"/>
                <w:sz w:val="20"/>
                <w:szCs w:val="20"/>
              </w:rPr>
              <w:t xml:space="preserve">* </w:t>
            </w:r>
            <w:r w:rsidRPr="00F441C5">
              <w:rPr>
                <w:rFonts w:eastAsia="Calibri"/>
                <w:bCs/>
                <w:color w:val="000000"/>
                <w:sz w:val="20"/>
                <w:szCs w:val="20"/>
              </w:rPr>
              <w:t>в случае наличия гарантии на исполнение обязательств по данному контракту, выданной в другом банке, в качестве обеспечения кредита принимается залог прав выручки по контракту.</w:t>
            </w:r>
          </w:p>
          <w:p w:rsidR="00F441C5" w:rsidRPr="00F441C5" w:rsidRDefault="00F441C5" w:rsidP="00D91690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F441C5">
              <w:rPr>
                <w:rFonts w:eastAsia="Calibri"/>
                <w:bCs/>
                <w:color w:val="000000"/>
                <w:sz w:val="20"/>
                <w:szCs w:val="20"/>
              </w:rPr>
              <w:t>* при наличии гарантии возврата аванса в другом Банке выдача кредита не допускается.</w:t>
            </w:r>
          </w:p>
        </w:tc>
      </w:tr>
      <w:tr w:rsidR="00F441C5" w:rsidRPr="00F441C5" w:rsidTr="00E658C0">
        <w:trPr>
          <w:trHeight w:val="1702"/>
        </w:trPr>
        <w:tc>
          <w:tcPr>
            <w:tcW w:w="1677" w:type="dxa"/>
            <w:vAlign w:val="center"/>
          </w:tcPr>
          <w:p w:rsidR="00F441C5" w:rsidRPr="00F441C5" w:rsidRDefault="00F441C5" w:rsidP="00D91690">
            <w:pPr>
              <w:rPr>
                <w:i/>
                <w:sz w:val="20"/>
                <w:szCs w:val="20"/>
              </w:rPr>
            </w:pPr>
            <w:r w:rsidRPr="00F441C5">
              <w:rPr>
                <w:i/>
                <w:sz w:val="20"/>
                <w:szCs w:val="20"/>
              </w:rPr>
              <w:t>Бенефициары</w:t>
            </w:r>
          </w:p>
        </w:tc>
        <w:tc>
          <w:tcPr>
            <w:tcW w:w="8246" w:type="dxa"/>
            <w:vAlign w:val="center"/>
          </w:tcPr>
          <w:p w:rsidR="00F441C5" w:rsidRPr="00F441C5" w:rsidRDefault="00F441C5" w:rsidP="00F441C5">
            <w:pPr>
              <w:widowControl w:val="0"/>
              <w:numPr>
                <w:ilvl w:val="0"/>
                <w:numId w:val="3"/>
              </w:numPr>
              <w:tabs>
                <w:tab w:val="clear" w:pos="720"/>
              </w:tabs>
              <w:suppressAutoHyphens/>
              <w:autoSpaceDE w:val="0"/>
              <w:ind w:left="171" w:hanging="216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F441C5">
              <w:rPr>
                <w:rFonts w:eastAsia="Calibri"/>
                <w:color w:val="000000"/>
                <w:sz w:val="20"/>
                <w:szCs w:val="20"/>
              </w:rPr>
              <w:t xml:space="preserve">Государственные, муниципальные заказчики, бюджетные учреждения, государственные компании и их дочерние организации, </w:t>
            </w:r>
            <w:r w:rsidRPr="00F441C5">
              <w:rPr>
                <w:rFonts w:eastAsia="Calibri"/>
                <w:color w:val="000000"/>
                <w:sz w:val="20"/>
                <w:szCs w:val="20"/>
                <w:u w:val="single"/>
              </w:rPr>
              <w:t>осуществляющие закупки в рамках законов 44-ФЗ и 223-ФЗ</w:t>
            </w:r>
          </w:p>
          <w:p w:rsidR="00F441C5" w:rsidRPr="00F441C5" w:rsidRDefault="00F441C5" w:rsidP="00F441C5">
            <w:pPr>
              <w:widowControl w:val="0"/>
              <w:numPr>
                <w:ilvl w:val="0"/>
                <w:numId w:val="3"/>
              </w:numPr>
              <w:tabs>
                <w:tab w:val="clear" w:pos="720"/>
              </w:tabs>
              <w:suppressAutoHyphens/>
              <w:autoSpaceDE w:val="0"/>
              <w:ind w:left="171" w:hanging="216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F441C5">
              <w:rPr>
                <w:rFonts w:eastAsia="Calibri"/>
                <w:color w:val="000000"/>
                <w:sz w:val="20"/>
                <w:szCs w:val="20"/>
              </w:rPr>
              <w:t>Региональные государственные фонды капитального ремонта (операторы ЖКХ), осуществляющие закупки в рамках 185-ФЗ / 615-ПП</w:t>
            </w:r>
          </w:p>
          <w:p w:rsidR="00F441C5" w:rsidRPr="00F441C5" w:rsidRDefault="00F441C5" w:rsidP="00D91690">
            <w:pPr>
              <w:ind w:left="171" w:hanging="216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F441C5">
              <w:rPr>
                <w:rFonts w:eastAsia="Calibri"/>
                <w:color w:val="000000"/>
                <w:sz w:val="20"/>
                <w:szCs w:val="20"/>
              </w:rPr>
              <w:t xml:space="preserve">-  Компании, входящие в список ТОП-600 крупнейших компаний России по объему реализации продукции (рейтинг агентства «Эксперт РА» </w:t>
            </w:r>
            <w:hyperlink r:id="rId7" w:history="1">
              <w:r w:rsidRPr="00F441C5">
                <w:rPr>
                  <w:rStyle w:val="a8"/>
                  <w:sz w:val="20"/>
                  <w:szCs w:val="20"/>
                </w:rPr>
                <w:t>https://raex-a.ru/rankingtable/top_companies/2021/main</w:t>
              </w:r>
            </w:hyperlink>
          </w:p>
        </w:tc>
      </w:tr>
      <w:tr w:rsidR="00F441C5" w:rsidRPr="00F441C5" w:rsidTr="00E658C0">
        <w:trPr>
          <w:trHeight w:val="2958"/>
        </w:trPr>
        <w:tc>
          <w:tcPr>
            <w:tcW w:w="1677" w:type="dxa"/>
            <w:vAlign w:val="center"/>
          </w:tcPr>
          <w:p w:rsidR="00F441C5" w:rsidRPr="00F441C5" w:rsidRDefault="00F441C5" w:rsidP="00D91690">
            <w:pPr>
              <w:rPr>
                <w:i/>
                <w:sz w:val="20"/>
                <w:szCs w:val="20"/>
              </w:rPr>
            </w:pPr>
            <w:r w:rsidRPr="00F441C5">
              <w:rPr>
                <w:i/>
                <w:sz w:val="20"/>
                <w:szCs w:val="20"/>
              </w:rPr>
              <w:lastRenderedPageBreak/>
              <w:t>Обеспечение по банковским гарантиям</w:t>
            </w:r>
          </w:p>
        </w:tc>
        <w:tc>
          <w:tcPr>
            <w:tcW w:w="8246" w:type="dxa"/>
            <w:vAlign w:val="center"/>
          </w:tcPr>
          <w:p w:rsidR="00F441C5" w:rsidRPr="00F441C5" w:rsidRDefault="00F441C5" w:rsidP="00D91690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F441C5">
              <w:rPr>
                <w:rFonts w:eastAsia="Calibri"/>
                <w:color w:val="000000"/>
                <w:sz w:val="20"/>
                <w:szCs w:val="20"/>
                <w:u w:val="single"/>
              </w:rPr>
              <w:t>Без обеспечения в следующих случаях</w:t>
            </w:r>
            <w:r w:rsidRPr="00F441C5">
              <w:rPr>
                <w:rFonts w:eastAsia="Calibri"/>
                <w:color w:val="000000"/>
                <w:sz w:val="20"/>
                <w:szCs w:val="20"/>
              </w:rPr>
              <w:t>:</w:t>
            </w:r>
          </w:p>
          <w:p w:rsidR="00F441C5" w:rsidRPr="00F441C5" w:rsidRDefault="00F441C5" w:rsidP="00D91690">
            <w:pPr>
              <w:pStyle w:val="a9"/>
              <w:ind w:left="37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F441C5">
              <w:rPr>
                <w:rFonts w:eastAsia="Calibri"/>
                <w:color w:val="000000"/>
                <w:sz w:val="20"/>
                <w:szCs w:val="20"/>
              </w:rPr>
              <w:t xml:space="preserve">- срок гарантии не более 60 мес. / сумма гарантии не более 100 млн. руб. /  заказчик </w:t>
            </w:r>
            <w:r w:rsidRPr="00F441C5">
              <w:rPr>
                <w:sz w:val="20"/>
                <w:szCs w:val="20"/>
              </w:rPr>
              <w:t>осуществляет закупки в рамках законов 44-ФЗ, 223-ФЗ, 185-ФЗ, 615-ПП;</w:t>
            </w:r>
            <w:r w:rsidRPr="00F441C5">
              <w:rPr>
                <w:rFonts w:eastAsia="Calibri"/>
                <w:color w:val="000000"/>
                <w:sz w:val="20"/>
                <w:szCs w:val="20"/>
              </w:rPr>
              <w:t xml:space="preserve"> заказчик входит  в список ТОП-600 крупнейших компаний России по объему реализации продукции (рейтинг агентства «Эксперт РА»).</w:t>
            </w:r>
          </w:p>
          <w:p w:rsidR="00F441C5" w:rsidRPr="00F441C5" w:rsidRDefault="00F441C5" w:rsidP="00D91690">
            <w:pPr>
              <w:pStyle w:val="a9"/>
              <w:ind w:left="37"/>
              <w:rPr>
                <w:rFonts w:eastAsia="Calibri"/>
                <w:color w:val="000000"/>
                <w:sz w:val="20"/>
                <w:szCs w:val="20"/>
              </w:rPr>
            </w:pPr>
          </w:p>
          <w:p w:rsidR="00F441C5" w:rsidRPr="00F441C5" w:rsidRDefault="00F441C5" w:rsidP="00D91690">
            <w:pPr>
              <w:ind w:left="6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F441C5">
              <w:rPr>
                <w:rFonts w:eastAsia="Calibri"/>
                <w:color w:val="000000"/>
                <w:sz w:val="20"/>
                <w:szCs w:val="20"/>
              </w:rPr>
              <w:t>* возможно предоставление гарантий (</w:t>
            </w:r>
            <w:r w:rsidRPr="00F441C5">
              <w:rPr>
                <w:rFonts w:eastAsia="Calibri"/>
                <w:color w:val="000000"/>
                <w:sz w:val="20"/>
                <w:szCs w:val="20"/>
                <w:u w:val="single"/>
              </w:rPr>
              <w:t>в совокупности не более 250 млн. руб</w:t>
            </w:r>
            <w:r w:rsidRPr="00F441C5">
              <w:rPr>
                <w:rFonts w:eastAsia="Calibri"/>
                <w:color w:val="000000"/>
                <w:sz w:val="20"/>
                <w:szCs w:val="20"/>
              </w:rPr>
              <w:t>.) без обеспечения, при соблюдении следующих условий по диверсификации гарантий: БГ на сумму &gt; 50 млн. руб. каждая в совокупности не могут превышать 100 млн. руб.;  БГ на сумму &lt; 50 млн. руб. – без ограничений.</w:t>
            </w:r>
          </w:p>
          <w:p w:rsidR="00F441C5" w:rsidRPr="00F441C5" w:rsidRDefault="00F441C5" w:rsidP="00D91690">
            <w:pPr>
              <w:ind w:left="60"/>
              <w:rPr>
                <w:rFonts w:eastAsia="Calibri"/>
                <w:color w:val="000000"/>
                <w:sz w:val="20"/>
                <w:szCs w:val="20"/>
              </w:rPr>
            </w:pPr>
          </w:p>
          <w:p w:rsidR="00F441C5" w:rsidRPr="00F441C5" w:rsidRDefault="00F441C5" w:rsidP="00D91690">
            <w:pPr>
              <w:ind w:left="6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F441C5">
              <w:rPr>
                <w:rFonts w:eastAsia="Calibri"/>
                <w:color w:val="000000"/>
                <w:sz w:val="20"/>
                <w:szCs w:val="20"/>
              </w:rPr>
              <w:t>В остальных случаях – при наличии ликвидного залога (депозит, обеспечительный платеж, страхование предпринимательского риска, недвижимое имущество и т.п.)</w:t>
            </w:r>
          </w:p>
        </w:tc>
      </w:tr>
      <w:tr w:rsidR="00F441C5" w:rsidRPr="00F441C5" w:rsidTr="00E658C0">
        <w:trPr>
          <w:trHeight w:val="654"/>
        </w:trPr>
        <w:tc>
          <w:tcPr>
            <w:tcW w:w="1677" w:type="dxa"/>
            <w:vAlign w:val="center"/>
          </w:tcPr>
          <w:p w:rsidR="00F441C5" w:rsidRPr="00F441C5" w:rsidRDefault="00F441C5" w:rsidP="00D91690">
            <w:pPr>
              <w:rPr>
                <w:i/>
                <w:sz w:val="20"/>
                <w:szCs w:val="20"/>
              </w:rPr>
            </w:pPr>
            <w:r w:rsidRPr="00F441C5">
              <w:rPr>
                <w:i/>
                <w:sz w:val="20"/>
                <w:szCs w:val="20"/>
              </w:rPr>
              <w:t>Обеспечение по кредиту</w:t>
            </w:r>
          </w:p>
        </w:tc>
        <w:tc>
          <w:tcPr>
            <w:tcW w:w="8246" w:type="dxa"/>
            <w:vAlign w:val="center"/>
          </w:tcPr>
          <w:p w:rsidR="00F441C5" w:rsidRPr="00F441C5" w:rsidRDefault="00F441C5" w:rsidP="00D91690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F441C5">
              <w:rPr>
                <w:rFonts w:eastAsia="Calibri"/>
                <w:color w:val="000000"/>
                <w:sz w:val="20"/>
                <w:szCs w:val="20"/>
              </w:rPr>
              <w:t>- при сроке кредитования не более 26 месяцев – без обеспечения</w:t>
            </w:r>
          </w:p>
          <w:p w:rsidR="00F441C5" w:rsidRPr="00F441C5" w:rsidRDefault="00F441C5" w:rsidP="00D91690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F441C5">
              <w:rPr>
                <w:rFonts w:eastAsia="Calibri"/>
                <w:color w:val="000000"/>
                <w:sz w:val="20"/>
                <w:szCs w:val="20"/>
              </w:rPr>
              <w:t>- при сроке кредитования более 26 месяцев - при наличии ликвидного залога</w:t>
            </w:r>
          </w:p>
        </w:tc>
      </w:tr>
      <w:tr w:rsidR="00F441C5" w:rsidRPr="00F441C5" w:rsidTr="00E658C0">
        <w:trPr>
          <w:trHeight w:val="410"/>
        </w:trPr>
        <w:tc>
          <w:tcPr>
            <w:tcW w:w="1677" w:type="dxa"/>
            <w:vAlign w:val="center"/>
          </w:tcPr>
          <w:p w:rsidR="00F441C5" w:rsidRPr="00F441C5" w:rsidRDefault="00F441C5" w:rsidP="00D91690">
            <w:pPr>
              <w:rPr>
                <w:i/>
                <w:sz w:val="20"/>
                <w:szCs w:val="20"/>
              </w:rPr>
            </w:pPr>
            <w:r w:rsidRPr="00F441C5">
              <w:rPr>
                <w:i/>
                <w:sz w:val="20"/>
                <w:szCs w:val="20"/>
              </w:rPr>
              <w:t>Поручительство</w:t>
            </w:r>
          </w:p>
        </w:tc>
        <w:tc>
          <w:tcPr>
            <w:tcW w:w="8246" w:type="dxa"/>
            <w:vAlign w:val="center"/>
          </w:tcPr>
          <w:p w:rsidR="00F441C5" w:rsidRPr="00F441C5" w:rsidRDefault="00F441C5" w:rsidP="00D91690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F441C5">
              <w:rPr>
                <w:rFonts w:eastAsia="Calibri"/>
                <w:color w:val="000000"/>
                <w:sz w:val="20"/>
                <w:szCs w:val="20"/>
              </w:rPr>
              <w:t xml:space="preserve">требуется поручительство собственников бизнеса с </w:t>
            </w:r>
            <w:r w:rsidRPr="00F441C5">
              <w:rPr>
                <w:rFonts w:eastAsia="Calibri"/>
                <w:color w:val="000000"/>
                <w:sz w:val="20"/>
                <w:szCs w:val="20"/>
                <w:u w:val="single"/>
              </w:rPr>
              <w:t>суммарной</w:t>
            </w:r>
            <w:r w:rsidRPr="00F441C5">
              <w:rPr>
                <w:rFonts w:eastAsia="Calibri"/>
                <w:color w:val="000000"/>
                <w:sz w:val="20"/>
                <w:szCs w:val="20"/>
              </w:rPr>
              <w:t xml:space="preserve"> долей более 50 %.</w:t>
            </w:r>
          </w:p>
        </w:tc>
      </w:tr>
      <w:tr w:rsidR="00F441C5" w:rsidRPr="00F441C5" w:rsidTr="00E658C0">
        <w:trPr>
          <w:trHeight w:val="830"/>
        </w:trPr>
        <w:tc>
          <w:tcPr>
            <w:tcW w:w="1677" w:type="dxa"/>
            <w:vAlign w:val="center"/>
          </w:tcPr>
          <w:p w:rsidR="00F441C5" w:rsidRPr="00F441C5" w:rsidRDefault="00F441C5" w:rsidP="00D91690">
            <w:pPr>
              <w:rPr>
                <w:i/>
                <w:sz w:val="20"/>
                <w:szCs w:val="20"/>
              </w:rPr>
            </w:pPr>
            <w:r w:rsidRPr="00F441C5">
              <w:rPr>
                <w:i/>
                <w:sz w:val="20"/>
                <w:szCs w:val="20"/>
              </w:rPr>
              <w:t>Комиссия за выдачу банковской гарантии</w:t>
            </w:r>
          </w:p>
        </w:tc>
        <w:tc>
          <w:tcPr>
            <w:tcW w:w="8246" w:type="dxa"/>
            <w:vAlign w:val="center"/>
          </w:tcPr>
          <w:p w:rsidR="00F441C5" w:rsidRPr="00F441C5" w:rsidRDefault="00F441C5" w:rsidP="00D91690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F441C5">
              <w:rPr>
                <w:rFonts w:eastAsia="Calibri"/>
                <w:color w:val="000000"/>
                <w:sz w:val="20"/>
                <w:szCs w:val="20"/>
              </w:rPr>
              <w:t xml:space="preserve">от 2% годовых, устанавливается индивидуально, исходя из суммы гарантии и итоговой структуры сделки. </w:t>
            </w:r>
          </w:p>
        </w:tc>
      </w:tr>
    </w:tbl>
    <w:p w:rsidR="00BC2906" w:rsidRDefault="00BC2906" w:rsidP="00BC2906">
      <w:pPr>
        <w:spacing w:after="40"/>
        <w:ind w:left="-284" w:right="141" w:firstLine="709"/>
        <w:jc w:val="both"/>
        <w:rPr>
          <w:rFonts w:eastAsia="Calibri"/>
          <w:sz w:val="20"/>
          <w:szCs w:val="20"/>
        </w:rPr>
      </w:pPr>
    </w:p>
    <w:p w:rsidR="00BC2906" w:rsidRPr="00BC2906" w:rsidRDefault="00BC2906" w:rsidP="00BC2906">
      <w:pPr>
        <w:spacing w:after="40"/>
        <w:ind w:left="-284" w:right="141" w:firstLine="709"/>
        <w:jc w:val="both"/>
        <w:rPr>
          <w:rFonts w:eastAsia="Calibri"/>
          <w:sz w:val="20"/>
          <w:szCs w:val="20"/>
        </w:rPr>
      </w:pPr>
      <w:r w:rsidRPr="00BC2906">
        <w:rPr>
          <w:rFonts w:eastAsia="Calibri"/>
          <w:sz w:val="20"/>
          <w:szCs w:val="20"/>
        </w:rPr>
        <w:t xml:space="preserve">Контактная информация для участников Госзакупок: </w:t>
      </w:r>
      <w:hyperlink r:id="rId8" w:history="1">
        <w:r w:rsidRPr="00BC2906">
          <w:rPr>
            <w:rFonts w:eastAsia="Calibri"/>
            <w:sz w:val="20"/>
            <w:szCs w:val="20"/>
          </w:rPr>
          <w:t>www.psbank.ru</w:t>
        </w:r>
      </w:hyperlink>
      <w:r w:rsidRPr="00BC2906">
        <w:rPr>
          <w:rFonts w:eastAsia="Calibri"/>
          <w:sz w:val="20"/>
          <w:szCs w:val="20"/>
        </w:rPr>
        <w:t>, 8(3466)217502, 8(3466) 217503, 8(3466) 217847 (доб. 5943, 5920).</w:t>
      </w:r>
    </w:p>
    <w:p w:rsidR="00F441C5" w:rsidRDefault="00F441C5" w:rsidP="00BC2906">
      <w:pPr>
        <w:ind w:left="-284" w:right="141"/>
        <w:jc w:val="both"/>
        <w:rPr>
          <w:sz w:val="20"/>
          <w:szCs w:val="20"/>
        </w:rPr>
      </w:pPr>
      <w:bookmarkStart w:id="0" w:name="_GoBack"/>
      <w:bookmarkEnd w:id="0"/>
    </w:p>
    <w:sectPr w:rsidR="00F441C5" w:rsidSect="00E658C0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016" w:rsidRDefault="00E85016" w:rsidP="00DC3518">
      <w:r>
        <w:separator/>
      </w:r>
    </w:p>
  </w:endnote>
  <w:endnote w:type="continuationSeparator" w:id="0">
    <w:p w:rsidR="00E85016" w:rsidRDefault="00E85016" w:rsidP="00DC3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016" w:rsidRDefault="00E85016" w:rsidP="00DC3518">
      <w:r>
        <w:separator/>
      </w:r>
    </w:p>
  </w:footnote>
  <w:footnote w:type="continuationSeparator" w:id="0">
    <w:p w:rsidR="00E85016" w:rsidRDefault="00E85016" w:rsidP="00DC35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7DF4"/>
    <w:multiLevelType w:val="hybridMultilevel"/>
    <w:tmpl w:val="B0A89B50"/>
    <w:lvl w:ilvl="0" w:tplc="F91667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9B0EDF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A4759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42E19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7834B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463EF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EB6358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749A3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976E5A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405B1862"/>
    <w:multiLevelType w:val="hybridMultilevel"/>
    <w:tmpl w:val="51E421F8"/>
    <w:lvl w:ilvl="0" w:tplc="903A7E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FA8A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3CF7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46BC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72D5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BC14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0CB5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DA3C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002A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20677B4"/>
    <w:multiLevelType w:val="hybridMultilevel"/>
    <w:tmpl w:val="0C5A273E"/>
    <w:lvl w:ilvl="0" w:tplc="B86C85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E6C5D9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305F8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ECC982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5A34C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EB875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BC3B4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624B2E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E36458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54B02C68"/>
    <w:multiLevelType w:val="hybridMultilevel"/>
    <w:tmpl w:val="7F14AE90"/>
    <w:lvl w:ilvl="0" w:tplc="4DAE9F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2000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3E842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87E1D5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A01D6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2BCD83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7FA1D1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E56289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A14470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58D81289"/>
    <w:multiLevelType w:val="hybridMultilevel"/>
    <w:tmpl w:val="A5E84DF2"/>
    <w:lvl w:ilvl="0" w:tplc="8E329E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4001E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76C1C8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E5638E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E8BA3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76F60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C8C2DE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9C250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A8C965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61F1303C"/>
    <w:multiLevelType w:val="hybridMultilevel"/>
    <w:tmpl w:val="5010E6FE"/>
    <w:lvl w:ilvl="0" w:tplc="24064A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E659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269A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4E29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1AD3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961F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B6A7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668C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7241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336541D"/>
    <w:multiLevelType w:val="hybridMultilevel"/>
    <w:tmpl w:val="E486669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769743B0"/>
    <w:multiLevelType w:val="hybridMultilevel"/>
    <w:tmpl w:val="478ADE80"/>
    <w:lvl w:ilvl="0" w:tplc="72EE97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32F"/>
    <w:rsid w:val="00446CFB"/>
    <w:rsid w:val="00583AF4"/>
    <w:rsid w:val="006E62D9"/>
    <w:rsid w:val="00714D8A"/>
    <w:rsid w:val="00715835"/>
    <w:rsid w:val="007266F7"/>
    <w:rsid w:val="007A462F"/>
    <w:rsid w:val="0085532F"/>
    <w:rsid w:val="0088575E"/>
    <w:rsid w:val="00900EAE"/>
    <w:rsid w:val="00934D70"/>
    <w:rsid w:val="009530E6"/>
    <w:rsid w:val="00976867"/>
    <w:rsid w:val="009B77CA"/>
    <w:rsid w:val="00A36C38"/>
    <w:rsid w:val="00AE608B"/>
    <w:rsid w:val="00B21482"/>
    <w:rsid w:val="00B83F25"/>
    <w:rsid w:val="00BA5734"/>
    <w:rsid w:val="00BC2906"/>
    <w:rsid w:val="00C23DFC"/>
    <w:rsid w:val="00CC0792"/>
    <w:rsid w:val="00D00479"/>
    <w:rsid w:val="00D50F43"/>
    <w:rsid w:val="00D54348"/>
    <w:rsid w:val="00D72D55"/>
    <w:rsid w:val="00DC3518"/>
    <w:rsid w:val="00DD3B81"/>
    <w:rsid w:val="00E25D40"/>
    <w:rsid w:val="00E658C0"/>
    <w:rsid w:val="00E85016"/>
    <w:rsid w:val="00E86239"/>
    <w:rsid w:val="00F225C3"/>
    <w:rsid w:val="00F441C5"/>
    <w:rsid w:val="00F65F80"/>
    <w:rsid w:val="00F842FA"/>
    <w:rsid w:val="00F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BF5AA"/>
  <w15:chartTrackingRefBased/>
  <w15:docId w15:val="{32862705-C707-4520-A89B-C1786712F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5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DC3518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DC35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unhideWhenUsed/>
    <w:rsid w:val="00DC3518"/>
    <w:rPr>
      <w:vertAlign w:val="superscript"/>
    </w:rPr>
  </w:style>
  <w:style w:type="character" w:customStyle="1" w:styleId="left">
    <w:name w:val="left"/>
    <w:basedOn w:val="a0"/>
    <w:rsid w:val="00DC3518"/>
  </w:style>
  <w:style w:type="paragraph" w:customStyle="1" w:styleId="Default">
    <w:name w:val="Default"/>
    <w:rsid w:val="00DC3518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0047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00479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0"/>
    <w:unhideWhenUsed/>
    <w:rsid w:val="00B83F25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C23DFC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F441C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2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bank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aex-a.ru/rankingtable/top_companies/2021/ma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PSB</Company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Gorshkova Svetlana Andreevna</dc:creator>
  <cp:keywords/>
  <dc:description/>
  <cp:lastModifiedBy>Шаяхметова Лейсан Айратовна</cp:lastModifiedBy>
  <cp:revision>4</cp:revision>
  <cp:lastPrinted>2022-03-29T09:56:00Z</cp:lastPrinted>
  <dcterms:created xsi:type="dcterms:W3CDTF">2022-04-01T04:54:00Z</dcterms:created>
  <dcterms:modified xsi:type="dcterms:W3CDTF">2022-04-01T06:37:00Z</dcterms:modified>
</cp:coreProperties>
</file>