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798712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36930" cy="5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3.8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lang w:eastAsia="ru-RU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ГОРОД НИЖНЕВАРТОВСК</w:t>
      </w:r>
      <w:r>
        <w:rPr>
          <w:rFonts w:ascii="Times New Roman" w:hAnsi="Times New Roman" w:eastAsia="Times New Roman"/>
          <w:b/>
          <w:highlight w:val="white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/>
          <w:b/>
          <w:sz w:val="18"/>
          <w:szCs w:val="18"/>
          <w:highlight w:val="white"/>
          <w:lang w:eastAsia="ru-RU"/>
        </w:rPr>
        <w:t xml:space="preserve">ХАНТЫ-МАНСИЙСКИЙ АВТОНОМНЫЙ ОКРУГ</w:t>
      </w:r>
      <w:r>
        <w:rPr>
          <w:rFonts w:ascii="Symbol" w:hAnsi="Symbol" w:eastAsia="Symbol" w:cs="Symbol"/>
          <w:b/>
          <w:sz w:val="18"/>
          <w:szCs w:val="18"/>
          <w:highlight w:val="white"/>
          <w:lang w:eastAsia="ru-RU"/>
        </w:rPr>
        <w:t xml:space="preserve"></w:t>
      </w:r>
      <w:r>
        <w:rPr>
          <w:rFonts w:ascii="Times New Roman" w:hAnsi="Times New Roman" w:eastAsia="Times New Roman"/>
          <w:b/>
          <w:sz w:val="18"/>
          <w:szCs w:val="18"/>
          <w:highlight w:val="white"/>
          <w:lang w:eastAsia="ru-RU"/>
        </w:rPr>
        <w:t xml:space="preserve"> ЮГРА</w:t>
      </w:r>
      <w:r>
        <w:rPr>
          <w:rFonts w:ascii="Times New Roman" w:hAnsi="Times New Roman" w:eastAsia="Times New Roman"/>
          <w:b/>
          <w:sz w:val="18"/>
          <w:szCs w:val="18"/>
          <w:highlight w:val="white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/>
          <w:b/>
          <w:sz w:val="32"/>
          <w:szCs w:val="32"/>
          <w:highlight w:val="white"/>
          <w:lang w:eastAsia="ru-RU"/>
        </w:rPr>
        <w:t xml:space="preserve">ДУМА ГОРОДА НИЖНЕВАРТОВСКА</w:t>
      </w:r>
      <w:r>
        <w:rPr>
          <w:rFonts w:ascii="Times New Roman" w:hAnsi="Times New Roman" w:eastAsia="Times New Roman"/>
          <w:b/>
          <w:sz w:val="36"/>
          <w:szCs w:val="36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0"/>
          <w:szCs w:val="30"/>
        </w:rPr>
      </w:r>
      <w:r>
        <w:rPr>
          <w:rFonts w:ascii="Times New Roman" w:hAnsi="Times New Roman"/>
          <w:b/>
          <w:sz w:val="30"/>
          <w:szCs w:val="30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2"/>
          <w:szCs w:val="32"/>
        </w:rPr>
        <w:t xml:space="preserve">РЕШЕНИЕ</w:t>
      </w:r>
      <w:r>
        <w:rPr>
          <w:rFonts w:ascii="Times New Roman" w:hAnsi="Times New Roman"/>
          <w:b/>
          <w:sz w:val="32"/>
          <w:szCs w:val="3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от «</w:t>
      </w:r>
      <w:r>
        <w:rPr>
          <w:rFonts w:ascii="Times New Roman" w:hAnsi="Times New Roman"/>
          <w:sz w:val="28"/>
          <w:szCs w:val="28"/>
        </w:rPr>
        <w:t xml:space="preserve">26» сентября </w:t>
      </w:r>
      <w:r>
        <w:rPr>
          <w:rFonts w:ascii="Times New Roman" w:hAnsi="Times New Roman"/>
          <w:sz w:val="28"/>
          <w:szCs w:val="28"/>
        </w:rPr>
        <w:t xml:space="preserve">2025 года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585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Положении о муниципальном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лесном контроле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федеральными законами от 06.10.2003 №131-ФЗ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31.07.2020 №248-ФЗ «О государственном контроле (надзоре)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муниципальном контроле в Российской Федерации», руководствуясь статьей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19 Устава города Нижневартовска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Дума города РЕШИЛА: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782"/>
        <w:numPr>
          <w:ilvl w:val="0"/>
          <w:numId w:val="23"/>
        </w:numPr>
        <w:ind w:left="0" w:firstLine="709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Положение о муниципальном лесном контроле согласно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 настоящему решению.</w:t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782"/>
        <w:numPr>
          <w:ilvl w:val="0"/>
          <w:numId w:val="23"/>
        </w:numPr>
        <w:ind w:left="0" w:firstLine="709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Признать утратившими силу следующие решения Думы города Нижневартовска: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pStyle w:val="782"/>
        <w:numPr>
          <w:ilvl w:val="0"/>
          <w:numId w:val="24"/>
        </w:numPr>
        <w:ind w:left="0" w:firstLine="709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25.06.2021 №811 «О Положении о муниципальном лесном контроле»;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pStyle w:val="782"/>
        <w:numPr>
          <w:ilvl w:val="0"/>
          <w:numId w:val="24"/>
        </w:numPr>
        <w:ind w:left="0" w:firstLine="709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Segoe UI"/>
          <w:color w:val="000000"/>
          <w:spacing w:val="-4"/>
          <w:sz w:val="28"/>
          <w:szCs w:val="28"/>
          <w:highlight w:val="white"/>
        </w:rPr>
        <w:t xml:space="preserve">от 30.09.2022 №191 «О внесении изменений в решение Думы города Нижневартовска от 25.06.2021 №811 «О Положении о муниципальном лесном контроле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pStyle w:val="782"/>
        <w:numPr>
          <w:ilvl w:val="0"/>
          <w:numId w:val="24"/>
        </w:numPr>
        <w:ind w:left="0" w:firstLine="709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Segoe UI"/>
          <w:color w:val="000000"/>
          <w:spacing w:val="-4"/>
          <w:sz w:val="28"/>
          <w:szCs w:val="28"/>
          <w:highlight w:val="white"/>
        </w:rPr>
        <w:t xml:space="preserve">от 31.03.2023 №267 «О внесении изменений в решение Думы города Нижневартовска от 25.06.2021 №811 «О Положении о муниципальном лесном контроле» (с изменением)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pStyle w:val="782"/>
        <w:numPr>
          <w:ilvl w:val="0"/>
          <w:numId w:val="23"/>
        </w:numPr>
        <w:ind w:left="0" w:firstLine="720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782"/>
        <w:jc w:val="both"/>
        <w:spacing w:after="0" w:line="240" w:lineRule="auto"/>
        <w:tabs>
          <w:tab w:val="left" w:pos="993" w:leader="none"/>
        </w:tabs>
      </w:pPr>
      <w:r/>
      <w:r/>
    </w:p>
    <w:p>
      <w:pPr>
        <w:pStyle w:val="782"/>
        <w:jc w:val="both"/>
        <w:spacing w:after="0" w:line="240" w:lineRule="auto"/>
        <w:tabs>
          <w:tab w:val="left" w:pos="993" w:leader="none"/>
        </w:tabs>
      </w:pPr>
      <w:r/>
      <w:r/>
    </w:p>
    <w:p>
      <w:pPr>
        <w:pStyle w:val="782"/>
        <w:jc w:val="both"/>
        <w:spacing w:after="0" w:line="240" w:lineRule="auto"/>
        <w:tabs>
          <w:tab w:val="left" w:pos="993" w:leader="none"/>
        </w:tabs>
      </w:pPr>
      <w:r/>
      <w:r/>
    </w:p>
    <w:p>
      <w:pPr>
        <w:pStyle w:val="782"/>
        <w:jc w:val="both"/>
        <w:spacing w:after="0" w:line="240" w:lineRule="auto"/>
        <w:tabs>
          <w:tab w:val="left" w:pos="993" w:leader="none"/>
        </w:tabs>
      </w:pPr>
      <w:r/>
      <w:r/>
    </w:p>
    <w:p>
      <w:pPr>
        <w:pStyle w:val="782"/>
        <w:jc w:val="both"/>
        <w:spacing w:after="0" w:line="240" w:lineRule="auto"/>
        <w:tabs>
          <w:tab w:val="left" w:pos="993" w:leader="none"/>
        </w:tabs>
      </w:pPr>
      <w:r/>
      <w:r/>
    </w:p>
    <w:p>
      <w:pPr>
        <w:pStyle w:val="782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279"/>
        <w:gridCol w:w="4394"/>
      </w:tblGrid>
      <w:tr>
        <w:trPr>
          <w:trHeight w:val="2201"/>
        </w:trPr>
        <w:tc>
          <w:tcPr>
            <w:tcW w:w="5279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Думы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города Нижневартовска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_________________ А.В. Сатинов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«26» сентября 2025 года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города Нижневартовска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________________ Д.А. Кощенко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«26» сентября 2025 года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/>
          </w:p>
        </w:tc>
      </w:tr>
    </w:tbl>
    <w:p>
      <w:pPr>
        <w:ind w:left="576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26.09.2025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585</w:t>
      </w:r>
      <w:bookmarkStart w:id="0" w:name="_GoBack"/>
      <w:r/>
      <w:bookmarkEnd w:id="0"/>
      <w:r/>
      <w:r/>
    </w:p>
    <w:p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</w:t>
      </w:r>
      <w:r/>
    </w:p>
    <w:p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муниципальном лесном контроле </w:t>
      </w:r>
      <w:r/>
    </w:p>
    <w:p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ind w:left="14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1. Общие положения</w:t>
      </w:r>
      <w:r/>
    </w:p>
    <w:p>
      <w:pPr>
        <w:pStyle w:val="943"/>
        <w:ind w:firstLine="709"/>
        <w:jc w:val="center"/>
      </w:pPr>
      <w:r/>
      <w:r/>
    </w:p>
    <w:p>
      <w:pPr>
        <w:ind w:firstLine="709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  <w:t xml:space="preserve">1.1. Положение о муниципальном лесном контроле (далее – Положение) устанавливает порядок организации и осуществления муниципального лесного контроля в границах территории города Нижневартовска </w:t>
      </w:r>
      <w:r>
        <w:rPr>
          <w:sz w:val="28"/>
          <w:szCs w:val="28"/>
        </w:rPr>
        <w:br/>
        <w:t xml:space="preserve">(далее – муниципальный контроль).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К отношениям, связанным с осуществлением муниципального контроля, организацией и проведением профилактических мероприятий                      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31.07.2020 </w:t>
      </w:r>
      <w:r>
        <w:rPr>
          <w:rFonts w:ascii="Times New Roman" w:hAnsi="Times New Roman" w:cs="Times New Roman"/>
          <w:sz w:val="28"/>
          <w:szCs w:val="28"/>
        </w:rPr>
        <w:t xml:space="preserve">№248-ФЗ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Федеральный закон №248-ФЗ).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Муниципальный контроль осуществляет управление муниципального контроля администрации города Нижневартовска (далее – контрольный орган).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1) 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компоненты природной среды, природные и природно-антропогенные объекты, не находящиеся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виде.</w:t>
      </w:r>
      <w:r/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</w:t>
      </w:r>
      <w:r>
        <w:rPr>
          <w:color w:val="000000"/>
          <w:sz w:val="28"/>
          <w:szCs w:val="28"/>
        </w:rPr>
        <w:t xml:space="preserve">получаемую в рамках межведомственного взаимодействия, а также общедоступную информацию.</w:t>
      </w:r>
      <w:r/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ab/>
        <w:t xml:space="preserve">1.6. </w:t>
      </w:r>
      <w:r>
        <w:rPr>
          <w:color w:val="000000" w:themeColor="text1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</w:t>
      </w:r>
      <w:r>
        <w:rPr>
          <w:color w:val="000000" w:themeColor="text1"/>
          <w:sz w:val="28"/>
          <w:szCs w:val="28"/>
        </w:rPr>
        <w:br/>
        <w:t xml:space="preserve">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</w:t>
      </w:r>
      <w:r>
        <w:rPr>
          <w:color w:val="000000" w:themeColor="text1"/>
          <w:sz w:val="28"/>
          <w:szCs w:val="28"/>
        </w:rPr>
        <w:br/>
        <w:t xml:space="preserve">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</w:t>
      </w:r>
      <w:r>
        <w:rPr>
          <w:color w:val="000000" w:themeColor="text1"/>
          <w:sz w:val="28"/>
          <w:szCs w:val="28"/>
        </w:rPr>
        <w:br/>
        <w:t xml:space="preserve">и лесоразведения, в том числе в области семеноводства в отношении семян лесных растений (далее </w:t>
      </w:r>
      <w:r>
        <w:rPr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</w:rPr>
        <w:t xml:space="preserve"> обязательные требования), а также исполнение решений, принимаемых по результатам контр</w:t>
      </w:r>
      <w:r>
        <w:rPr>
          <w:color w:val="000000"/>
          <w:sz w:val="28"/>
          <w:szCs w:val="28"/>
        </w:rPr>
        <w:t xml:space="preserve">ольных мероприятий.</w:t>
      </w:r>
      <w:r/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ab/>
        <w:t xml:space="preserve">1.7. Муниципальный контроль осуществляется посредством проведения: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профилактических мероприятий;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контрольных мероприятий со взаимодействием с контролируемым лицом;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Муниципальный контроль осуществляют следующие должностные лица</w:t>
      </w:r>
      <w:r>
        <w:rPr>
          <w:rFonts w:ascii="Times New Roman" w:hAnsi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/>
    </w:p>
    <w:p>
      <w:pPr>
        <w:pStyle w:val="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1) руководитель контрольного органа;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должностное лицо контрольного органа, в должностные обязанности которого 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должностной инструкцией, входит осуществление полномочий по муниципальному контролю, в том числе проведение профилактических мероприятий и контрольных мероприятий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далее – должностное лицо).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1.9.</w:t>
      </w:r>
      <w:r>
        <w:rPr>
          <w:rFonts w:ascii="Times New Roman" w:hAnsi="Times New Roman" w:cs="Times New Roman"/>
          <w:sz w:val="28"/>
          <w:szCs w:val="28"/>
        </w:rPr>
        <w:t xml:space="preserve"> Принятие решений о пров</w:t>
      </w:r>
      <w:r>
        <w:rPr>
          <w:rFonts w:ascii="Times New Roman" w:hAnsi="Times New Roman" w:cs="Times New Roman"/>
          <w:sz w:val="28"/>
          <w:szCs w:val="28"/>
        </w:rPr>
        <w:t xml:space="preserve">едении контрольных мероприятий осуществляет руководитель контрольного органа. На время отсутствия руководителя контрольного органа, принятие решений о проведении контрольных мероприятий осуществляет исполняющий обязанности руководителя контрольного органа.</w:t>
      </w:r>
      <w:r/>
    </w:p>
    <w:p>
      <w:pPr>
        <w:pStyle w:val="78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целях, связанных с осуществлением муниципального контроля, контрольный орган получ</w:t>
      </w:r>
      <w:r>
        <w:rPr>
          <w:sz w:val="28"/>
          <w:szCs w:val="28"/>
        </w:rPr>
        <w:t xml:space="preserve">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</w:t>
      </w:r>
      <w:r>
        <w:rPr>
          <w:sz w:val="28"/>
          <w:szCs w:val="28"/>
        </w:rPr>
        <w:br/>
        <w:t xml:space="preserve">в электронной форме. </w:t>
      </w:r>
      <w:r/>
    </w:p>
    <w:p>
      <w:pPr>
        <w:pStyle w:val="78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Передача в рамках межведомственного информационного взаимодействия документов и (или) сведений, раскрытие информации, </w:t>
      </w:r>
      <w:r>
        <w:rPr>
          <w:sz w:val="28"/>
          <w:szCs w:val="28"/>
        </w:rPr>
        <w:br/>
        <w:t xml:space="preserve">в том числе ознакомление с такими документами и (или) сведениями в случаях, предусмотренных </w:t>
      </w:r>
      <w:hyperlink r:id="rId13" w:tooltip="https://docs.cntd.ru/document/565415215#64U0IK" w:anchor="64U0IK" w:history="1">
        <w:r>
          <w:rPr>
            <w:rStyle w:val="956"/>
            <w:rFonts w:eastAsia="Arial"/>
            <w:color w:val="auto"/>
            <w:sz w:val="28"/>
            <w:szCs w:val="28"/>
            <w:u w:val="none"/>
          </w:rPr>
          <w:t xml:space="preserve">Федеральным законом </w:t>
        </w:r>
      </w:hyperlink>
      <w:r>
        <w:rPr>
          <w:sz w:val="28"/>
          <w:szCs w:val="28"/>
        </w:rPr>
        <w:t xml:space="preserve">№248-ФЗ, осуществляются с учетом требований законодательства Российской Федерации о государственной и иной охраняемой законом тайне. 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охраняемым законом ценностям при осуществлении муниципального контроля</w:t>
      </w:r>
      <w:r/>
    </w:p>
    <w:p>
      <w:pPr>
        <w:pStyle w:val="94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2.1. Муниципальный контроль осуществляется на </w:t>
      </w:r>
      <w:r>
        <w:rPr>
          <w:sz w:val="28"/>
          <w:szCs w:val="28"/>
        </w:rPr>
        <w:t xml:space="preserve">основе управления рисками причинения вреда (ущерба) охраняемым законом ценностям,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2.2. Учет рисков причинения вреда (ущерба) охраняемым законом ценностям, порядок отнесения объектов конт</w:t>
      </w:r>
      <w:r>
        <w:rPr>
          <w:sz w:val="28"/>
          <w:szCs w:val="28"/>
        </w:rPr>
        <w:t xml:space="preserve">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Объекты контроля подлежат отнесению к категориям среднего, умеренного и низкого риска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критериями отнесения объектов контроля к категориям риска </w:t>
      </w:r>
      <w:r>
        <w:rPr>
          <w:color w:val="000000" w:themeColor="text1"/>
          <w:sz w:val="28"/>
          <w:szCs w:val="28"/>
        </w:rPr>
        <w:t xml:space="preserve">(далее – критерии риска),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указанными                                     в приложении к настоящему Положению.</w:t>
      </w:r>
      <w:r/>
    </w:p>
    <w:p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color w:val="000000" w:themeColor="text1"/>
          <w:sz w:val="28"/>
          <w:szCs w:val="28"/>
        </w:rPr>
        <w:t xml:space="preserve">2.4. При от</w:t>
      </w:r>
      <w:r>
        <w:rPr>
          <w:rFonts w:eastAsia="Droid Sans Fallback" w:cs="Droid Sans Devanagari"/>
          <w:sz w:val="28"/>
          <w:szCs w:val="28"/>
        </w:rPr>
        <w:t xml:space="preserve">несении объектов контроля к категориям риска, применении критериев риска и в</w:t>
      </w:r>
      <w:r>
        <w:rPr>
          <w:rFonts w:eastAsia="Droid Sans Fallback" w:cs="Droid Sans Devanagari"/>
          <w:sz w:val="28"/>
          <w:szCs w:val="28"/>
        </w:rPr>
        <w:t xml:space="preserve">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из любых источников, обеспечивающих </w:t>
      </w:r>
      <w:r>
        <w:rPr>
          <w:rFonts w:eastAsia="Droid Sans Fallback" w:cs="Droid Sans Devanagari"/>
          <w:sz w:val="28"/>
          <w:szCs w:val="28"/>
        </w:rPr>
        <w:br/>
        <w:t xml:space="preserve">их достоверность.</w:t>
      </w:r>
      <w:r/>
    </w:p>
    <w:p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2.5. Отнес</w:t>
      </w:r>
      <w:r>
        <w:rPr>
          <w:rFonts w:eastAsia="Droid Sans Fallback" w:cs="Droid Sans Devanagari"/>
          <w:sz w:val="28"/>
          <w:szCs w:val="28"/>
        </w:rPr>
        <w:t xml:space="preserve">ение объектов контроля к категориям риска и изменение присвоенных объектам контроля категорий риска осуществляются решениями контрольного органа. Решение об отнесении объектов контроля к категориям риска принимается путем подписания соответствующих данных </w:t>
      </w:r>
      <w:r>
        <w:rPr>
          <w:rFonts w:eastAsia="Droid Sans Fallback" w:cs="Droid Sans Devanagari"/>
          <w:color w:val="000000" w:themeColor="text1"/>
          <w:sz w:val="28"/>
          <w:szCs w:val="28"/>
        </w:rPr>
        <w:t xml:space="preserve">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>
        <w:rPr>
          <w:rFonts w:eastAsia="Droid Sans Fallback" w:cs="Droid Sans Devanagari"/>
          <w:sz w:val="28"/>
          <w:szCs w:val="28"/>
        </w:rPr>
        <w:t xml:space="preserve">в порядке, определенном Правительством Российской Федерации.</w:t>
      </w:r>
      <w:r/>
    </w:p>
    <w:p>
      <w:pPr>
        <w:ind w:firstLine="709"/>
        <w:jc w:val="both"/>
        <w:rPr>
          <w:rFonts w:eastAsia="Droid Sans Fallback" w:cs="Droid Sans Devanagari"/>
          <w:sz w:val="28"/>
          <w:szCs w:val="28"/>
          <w:highlight w:val="white"/>
        </w:rPr>
      </w:pPr>
      <w:r>
        <w:rPr>
          <w:rFonts w:eastAsia="Droid Sans Fallback" w:cs="Droid Sans Devanagari"/>
          <w:sz w:val="28"/>
          <w:szCs w:val="28"/>
        </w:rPr>
        <w:t xml:space="preserve">При отсутствии решения об отнесении объектов контроля</w:t>
      </w:r>
      <w:r>
        <w:rPr>
          <w:rFonts w:eastAsia="Droid Sans Fallback" w:cs="Droid Sans Devanagari"/>
          <w:sz w:val="28"/>
          <w:szCs w:val="28"/>
          <w:highlight w:val="white"/>
        </w:rPr>
        <w:t xml:space="preserve"> к определенным категориям риска такие объекты считаются отнесенными к категории низкого риска.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контроль</w:t>
      </w:r>
      <w:r>
        <w:rPr>
          <w:sz w:val="28"/>
          <w:szCs w:val="28"/>
        </w:rPr>
        <w:t xml:space="preserve">ный орган применяет индикаторы риска нарушения обязательных требований (далее – индикаторы риска). Индикатором риска является соответствие или отклонение от параметров объекта контроля, которые сами по себе не являются нарушениями обязательных требований, </w:t>
      </w:r>
      <w:r>
        <w:rPr>
          <w:sz w:val="28"/>
          <w:szCs w:val="28"/>
        </w:rPr>
        <w:br/>
        <w:t xml:space="preserve">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Перечень индикаторов риска по муниципальному контролю разрабатывается контрольным органом и утверждается решением Думы города Нижневартовска.</w:t>
      </w:r>
      <w:r/>
    </w:p>
    <w:p>
      <w:pPr>
        <w:ind w:firstLine="709"/>
        <w:jc w:val="both"/>
        <w:widowControl w:val="off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В случае поступления в контрольный орган сведений о соот</w:t>
      </w:r>
      <w:r>
        <w:rPr>
          <w:sz w:val="28"/>
          <w:szCs w:val="28"/>
        </w:rPr>
        <w:t xml:space="preserve">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>
        <w:rPr>
          <w:iCs/>
          <w:color w:val="000000"/>
          <w:sz w:val="28"/>
          <w:szCs w:val="28"/>
        </w:rPr>
        <w:t xml:space="preserve">Контролируемое лицо, в том числе с использованием </w:t>
      </w:r>
      <w:r>
        <w:rPr>
          <w:iCs/>
          <w:sz w:val="28"/>
          <w:szCs w:val="28"/>
        </w:rPr>
        <w:t xml:space="preserve">федеральной государственной информационной системы «Единый портал государственных </w:t>
      </w:r>
      <w:r>
        <w:rPr>
          <w:iCs/>
          <w:sz w:val="28"/>
          <w:szCs w:val="28"/>
        </w:rPr>
        <w:br/>
        <w:t xml:space="preserve">и муниципальных услуг (функций)» (далее – единый портал государственных </w:t>
      </w:r>
      <w:r>
        <w:rPr>
          <w:iCs/>
          <w:sz w:val="28"/>
          <w:szCs w:val="28"/>
        </w:rPr>
        <w:br/>
        <w:t xml:space="preserve">и муниципальных услуг (функций)</w:t>
      </w:r>
      <w:r>
        <w:rPr>
          <w:iCs/>
          <w:color w:val="000000"/>
          <w:sz w:val="28"/>
          <w:szCs w:val="28"/>
        </w:rPr>
        <w:t xml:space="preserve">, вправе</w:t>
      </w:r>
      <w:r>
        <w:rPr>
          <w:iCs/>
          <w:color w:val="000000"/>
          <w:sz w:val="28"/>
          <w:szCs w:val="28"/>
        </w:rPr>
        <w:t xml:space="preserve">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2.10. По запросу контролируемого лица контрольный орган </w:t>
      </w:r>
      <w:r>
        <w:rPr>
          <w:sz w:val="28"/>
          <w:szCs w:val="28"/>
        </w:rPr>
        <w:br/>
        <w:t xml:space="preserve">в установленном порядке предоставляет информацию о присвоенной категории риска, а также сведения, на основании которых принято решение об отнесении </w:t>
      </w:r>
      <w:r>
        <w:rPr>
          <w:sz w:val="28"/>
          <w:szCs w:val="28"/>
        </w:rPr>
        <w:br/>
        <w:t xml:space="preserve">к категории риска.</w:t>
      </w:r>
      <w:r/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Профилактика рисков причинения вреда (ущерба) охраняемым законом ценностям</w:t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Профилактические м</w:t>
      </w:r>
      <w:r>
        <w:rPr>
          <w:sz w:val="28"/>
          <w:szCs w:val="28"/>
        </w:rPr>
        <w:t xml:space="preserve">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                        в порядке, установленном Правительством Российской Федерации.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</w:t>
      </w:r>
      <w:r>
        <w:rPr>
          <w:sz w:val="28"/>
          <w:szCs w:val="28"/>
        </w:rPr>
        <w:br/>
        <w:t xml:space="preserve">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мероприятий.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Контрольный орган вправе проводить профилактические мероприятия, не предусмотренные Программой профилактики.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в рамках осуществления муниципального контроля проводит следующие профилактические мероприятия: 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1) информирование;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2) объявление предостережения;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3) консультирование;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4) профилактический визит.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3.4. Информирование осуществляется должностными лицами посредством размещения сведений, предусмотренных частью 3 статьи 46 Федерального закона №2</w:t>
      </w:r>
      <w:r>
        <w:rPr>
          <w:sz w:val="28"/>
          <w:szCs w:val="28"/>
          <w:highlight w:val="white"/>
        </w:rPr>
        <w:t xml:space="preserve">48-ФЗ, на официальном сайте органов местного самоуправления </w:t>
      </w:r>
      <w:r>
        <w:rPr>
          <w:sz w:val="28"/>
          <w:szCs w:val="28"/>
          <w:highlight w:val="white"/>
        </w:rPr>
        <w:t xml:space="preserve">города Нижневартовска, в средствах массовой информации, через единый портал государственных и муниципальных услуг (функций) и в иных формах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  <w:t xml:space="preserve"> Размещенные сведения поддерживаются контрольным органом в актуальном состоянии.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3.5. Предостере</w:t>
      </w:r>
      <w:r>
        <w:rPr>
          <w:sz w:val="28"/>
          <w:szCs w:val="28"/>
        </w:rPr>
        <w:t xml:space="preserve">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  <w:t xml:space="preserve"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sz w:val="28"/>
          <w:szCs w:val="28"/>
        </w:rPr>
        <w:t xml:space="preserve"> и предлагает принять меры по обеспечению соблюдения обязательных требований.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№248-ФЗ.</w:t>
      </w:r>
      <w:r/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</w:t>
      </w:r>
      <w:r>
        <w:rPr>
          <w:color w:val="000000"/>
          <w:sz w:val="28"/>
          <w:szCs w:val="28"/>
          <w:highlight w:val="white"/>
        </w:rPr>
        <w:br/>
        <w:t xml:space="preserve">и использует соответствующие данные для проведения иных профилактических мероприятий и контрольных мероприятий.</w:t>
      </w:r>
      <w:r/>
    </w:p>
    <w:p>
      <w:pPr>
        <w:pStyle w:val="949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bCs/>
          <w:sz w:val="28"/>
        </w:rPr>
        <w:t xml:space="preserve">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контрольный орган возражение в произвольной форме в отношении указанного предостережения</w:t>
      </w:r>
      <w:r>
        <w:rPr>
          <w:bCs/>
          <w:sz w:val="28"/>
          <w:szCs w:val="28"/>
        </w:rPr>
        <w:t xml:space="preserve">, включив в него следующую информацию:</w:t>
      </w:r>
      <w:r>
        <w:rPr>
          <w:sz w:val="28"/>
          <w:szCs w:val="28"/>
        </w:rPr>
        <w:t xml:space="preserve">     </w:t>
      </w:r>
      <w:r>
        <w:rPr>
          <w:sz w:val="28"/>
        </w:rPr>
        <w:t xml:space="preserve"> </w:t>
      </w:r>
      <w:r/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фамилию, имя, отчество (при наличии), сведения о месте</w:t>
      </w:r>
      <w:r>
        <w:rPr>
          <w:color w:val="000000"/>
          <w:sz w:val="28"/>
          <w:szCs w:val="28"/>
          <w:highlight w:val="white"/>
        </w:rPr>
        <w:t xml:space="preserve">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возражение по доверенности;</w:t>
      </w:r>
      <w:r/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дату и номер полученного предостережения;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обоснование позиции, возражения в отношении указанных </w:t>
      </w:r>
      <w:r>
        <w:rPr>
          <w:sz w:val="28"/>
          <w:szCs w:val="28"/>
        </w:rPr>
        <w:br/>
        <w:t xml:space="preserve">в предостережении действий (бездействия) контролируемого лица, которые приводят или могут привести к нарушению обязательных требований;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дату направления возражения.</w:t>
      </w:r>
      <w:r/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Возражение направляет контролируемое лицо в контрольный орган, находящийся по адресу: 628624, Ханты-Мансийский автономный округ - Югра, город Нижневартовск, улица Ханты-Мансийская, 35, одним из следующих способов: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лично, обратившись в контрольный орган;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почтовой связью; 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электронном виде на указанный в предостережении адрес электронной почты; 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единый портал государственных и муниципальных услуг (функций).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Возражение контрольный орган рассматривает не позднее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30 календарных </w:t>
      </w:r>
      <w:r>
        <w:rPr>
          <w:rFonts w:ascii="Times New Roman" w:hAnsi="Times New Roman" w:cs="Times New Roman"/>
          <w:sz w:val="28"/>
          <w:szCs w:val="28"/>
        </w:rPr>
        <w:t xml:space="preserve">дней с даты его получения, по итогам которого принимает одно из указанных решений: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sz w:val="28"/>
          <w:szCs w:val="28"/>
        </w:rPr>
        <w:t xml:space="preserve">- в случае признания доводов контролируемого лица </w:t>
      </w:r>
      <w:r>
        <w:rPr>
          <w:sz w:val="28"/>
          <w:szCs w:val="28"/>
        </w:rPr>
        <w:br/>
        <w:t xml:space="preserve">состоятельными – об удовлетворении возражения и отмене предостережения, </w:t>
      </w:r>
      <w:r>
        <w:rPr>
          <w:sz w:val="28"/>
          <w:szCs w:val="28"/>
        </w:rPr>
        <w:br/>
        <w:t xml:space="preserve">о чем уведомляет его в срок не позднее </w:t>
      </w:r>
      <w:r>
        <w:rPr>
          <w:sz w:val="28"/>
          <w:szCs w:val="28"/>
          <w:highlight w:val="white"/>
        </w:rPr>
        <w:t xml:space="preserve">7 рабочих дней с даты принятия такого решения;</w:t>
      </w:r>
      <w:r/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- в случае признания доводов контролируемого лица несостоятельными – об оставлении возражения без удовлетворения, о чем уведомляет его в срок                    не позднее 7 рабочих дней с даты принятия такого решения</w:t>
      </w:r>
      <w:r>
        <w:rPr>
          <w:sz w:val="28"/>
          <w:szCs w:val="28"/>
        </w:rPr>
        <w:t xml:space="preserve">.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представленных контролируемым лицом</w:t>
      </w:r>
      <w:r>
        <w:rPr>
          <w:rFonts w:ascii="Times New Roman" w:hAnsi="Times New Roman" w:cs="Times New Roman"/>
          <w:sz w:val="28"/>
          <w:szCs w:val="28"/>
        </w:rPr>
        <w:br/>
        <w:t xml:space="preserve"> в возражениях доводов должностное лицо отменяет предостережение                           с внесением информации в журнал учета выдачи предостережений.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3.6. Консультирование контролируемых лиц и их представителей осуществляется должностным лицом по обращениям контролируемых лиц и их представителей по вопросам, связанным с организацией и осуществлением муниципального контроля.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осуществляется без взимания платы.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должностным лицом </w:t>
      </w:r>
      <w:r>
        <w:rPr>
          <w:sz w:val="28"/>
          <w:szCs w:val="28"/>
        </w:rPr>
        <w:br/>
        <w:t xml:space="preserve">по телефону, посредством видео-конференц-связи, на личном приеме, либо </w:t>
      </w:r>
      <w:r>
        <w:rPr>
          <w:sz w:val="28"/>
          <w:szCs w:val="28"/>
        </w:rPr>
        <w:br/>
        <w:t xml:space="preserve">в ходе проведения профилактических мероприятий, </w:t>
      </w:r>
      <w:r>
        <w:rPr>
          <w:sz w:val="28"/>
          <w:szCs w:val="28"/>
          <w:highlight w:val="white"/>
        </w:rPr>
        <w:t xml:space="preserve">контрольных мероприятий.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Время консультирования не должно превышать 15 минут.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контрольного органа или лицом, исполняющим его обязанности. 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  <w:highlight w:val="white"/>
        </w:rPr>
        <w:t xml:space="preserve">Информация о месте личного приема, а также об установленных </w:t>
      </w:r>
      <w:r>
        <w:rPr>
          <w:color w:val="000000" w:themeColor="text1"/>
          <w:sz w:val="28"/>
          <w:szCs w:val="28"/>
          <w:highlight w:val="white"/>
        </w:rPr>
        <w:br/>
        <w:t xml:space="preserve">для личного приема днях и часах размещается на </w:t>
      </w:r>
      <w:r>
        <w:rPr>
          <w:sz w:val="28"/>
          <w:szCs w:val="28"/>
          <w:highlight w:val="white"/>
        </w:rPr>
        <w:t xml:space="preserve">официальном сайте органов местного самоуправления города Нижневартовска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По ито</w:t>
      </w:r>
      <w:r>
        <w:rPr>
          <w:sz w:val="28"/>
          <w:szCs w:val="28"/>
        </w:rPr>
        <w:t xml:space="preserve">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02.05.2006 №59-ФЗ </w:t>
      </w:r>
      <w:r>
        <w:rPr>
          <w:sz w:val="28"/>
          <w:szCs w:val="28"/>
        </w:rPr>
        <w:br/>
        <w:t xml:space="preserve">«О порядке рассмотрения обращений граждан Российской Федерации».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При осуществлении консультирования должностное лицо обязано соблюдать конфиденциальность информации, доступ к которой ограничен </w:t>
      </w:r>
      <w:r>
        <w:rPr>
          <w:sz w:val="28"/>
          <w:szCs w:val="28"/>
        </w:rPr>
        <w:br/>
        <w:t xml:space="preserve">в соответствии с законодательством Российской Федерации.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лиц, иных участников контрольного мероприятия, </w:t>
      </w:r>
      <w:r>
        <w:rPr>
          <w:sz w:val="28"/>
          <w:szCs w:val="28"/>
          <w:highlight w:val="white"/>
        </w:rPr>
        <w:br/>
        <w:t xml:space="preserve">а также результаты проведенных в рамках контрольного мероприятия </w:t>
      </w:r>
      <w:r>
        <w:rPr>
          <w:sz w:val="28"/>
          <w:szCs w:val="28"/>
        </w:rPr>
        <w:t xml:space="preserve">экспертизы, испытаний.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Контрольный орган осуществляет учет консультирований, который проводится посредством внесения соответствующей записи в журнал </w:t>
      </w:r>
      <w:r>
        <w:rPr>
          <w:sz w:val="28"/>
          <w:szCs w:val="28"/>
        </w:rPr>
        <w:t xml:space="preserve">консультирования.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</w:t>
      </w:r>
      <w:r>
        <w:rPr>
          <w:sz w:val="28"/>
          <w:szCs w:val="28"/>
          <w:highlight w:val="white"/>
        </w:rPr>
        <w:t xml:space="preserve">официальном сайте органов местного самоуправления города Нижневартовска</w:t>
      </w:r>
      <w:r>
        <w:rPr>
          <w:sz w:val="28"/>
          <w:szCs w:val="28"/>
        </w:rPr>
        <w:t xml:space="preserve"> письменного разъяснения, подписанного уполномоченным должностным лицом.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3.7. 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sz w:val="28"/>
          <w:szCs w:val="28"/>
        </w:rPr>
        <w:br/>
        <w:t xml:space="preserve">к принадлежащим ему объектам контроля, а должностное лицо осуществляет ознакомление с объектом контроля, сбор сведений, необходимых для оценки уровня соблюдения контролируемым лицом обязательных требований.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по инициативе контрольного органа (обязательный профилактический визит) проводится в порядке, определённом статьей 52.1 Федерального закона №248-ФЗ в случаях, предусмотренных </w:t>
      </w:r>
      <w:r>
        <w:rPr>
          <w:sz w:val="28"/>
          <w:szCs w:val="28"/>
          <w:highlight w:val="white"/>
        </w:rPr>
        <w:t xml:space="preserve">пунктами 3, 4 части 1 с</w:t>
      </w:r>
      <w:r>
        <w:rPr>
          <w:sz w:val="28"/>
          <w:szCs w:val="28"/>
        </w:rPr>
        <w:t xml:space="preserve">татьи 52.1 Федерального закона №248-ФЗ, а также в иных случаях, установленных постановлениями Правительства Российской Федерации.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№248-ФЗ.</w:t>
      </w:r>
      <w:r/>
    </w:p>
    <w:p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Осуществление муниципального контроля </w:t>
      </w:r>
      <w:r/>
    </w:p>
    <w:p>
      <w:pPr>
        <w:ind w:firstLine="709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Муниципальный контроль осуществляется путем проведения контрольных мероприятий со взаимодействием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контрольных мероприятий без взаимодействия с контролируемым лицом. 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4.2.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Муниципальный контроль осуществляется без проведения плановых контрольных мероприятий. </w:t>
      </w:r>
      <w:r/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ab/>
        <w:t xml:space="preserve">4.3. 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 xml:space="preserve">контрольных мероприятий: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1) инспекционный визит;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2) рейдовый осмотр;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документарная проверка;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4) выездная проверка.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 Для проведения контро</w:t>
      </w:r>
      <w:r>
        <w:rPr>
          <w:sz w:val="28"/>
          <w:szCs w:val="28"/>
        </w:rPr>
        <w:t xml:space="preserve">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4.5. Инспекционный визит проводится в порядке и в сроки, установленные статьей 70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инспекционного визита могут совершаться следующие контрольные действия: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1) осмотр;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2) опрос;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3) получение письменных объяснений;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4) инструментальное обследование;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5) ист</w:t>
      </w:r>
      <w:r>
        <w:rPr>
          <w:sz w:val="28"/>
          <w:szCs w:val="28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 xml:space="preserve">частью</w:t>
      </w:r>
      <w:r>
        <w:rPr>
          <w:sz w:val="28"/>
          <w:szCs w:val="28"/>
        </w:rPr>
        <w:t xml:space="preserve"> 7 статьи 70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4.6. Рейдовый осмотр проводится в порядке и в сроки, установленные статьей 71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рейдового осмотра могут совершаться следующие контрольные действия: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осмотр;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2) досмотр;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3) опрос;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4) получение письменных объяснений;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5) истребование документов;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6) инструментальное обследование;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7) экспертиза.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 xml:space="preserve">частью </w:t>
      </w:r>
      <w:r>
        <w:rPr>
          <w:sz w:val="28"/>
          <w:szCs w:val="28"/>
        </w:rPr>
        <w:t xml:space="preserve">12 статьи 71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4.7. Документарная проверка проводится в порядке и в сроки, установленные статьей 72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ходе документарной проверки могут совершаться следующие контрольные действия: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получение письменных объяснений;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истребование документов;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3) экспертиза.</w:t>
      </w:r>
      <w:r/>
    </w:p>
    <w:p>
      <w:pPr>
        <w:pStyle w:val="78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 xml:space="preserve">частью 9 </w:t>
      </w:r>
      <w:r>
        <w:rPr>
          <w:sz w:val="28"/>
          <w:szCs w:val="28"/>
        </w:rPr>
        <w:t xml:space="preserve">статьи 72 Федерального закона №248-ФЗ.</w:t>
      </w:r>
      <w:r/>
    </w:p>
    <w:p>
      <w:pPr>
        <w:pStyle w:val="783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4.8. </w:t>
      </w:r>
      <w:r>
        <w:rPr>
          <w:sz w:val="28"/>
          <w:szCs w:val="28"/>
        </w:rPr>
        <w:t xml:space="preserve">Выездная проверка проводится в порядке и в сроки, установленные статьей 73 Федерального закона №248-ФЗ.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 xml:space="preserve">В ходе выездной проверки могут совершаться следующие контрольные действия: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1) осмотр;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2) досмотр;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3) опрос;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4) получение письменных объяснений;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5) истребование документов;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6) инструментальное обследование;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7) экспертиза.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Внеплановая выездная проверка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 xml:space="preserve">частью</w:t>
      </w:r>
      <w:r>
        <w:rPr>
          <w:sz w:val="28"/>
          <w:szCs w:val="28"/>
        </w:rPr>
        <w:t xml:space="preserve"> 5 статьи 73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4.9.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4.10. Без взаимодействия с контролируемым лицом проводятся следующие контрольные мероприятия (далее – контрольные мероприятия </w:t>
      </w:r>
      <w:r>
        <w:rPr>
          <w:sz w:val="28"/>
          <w:szCs w:val="28"/>
        </w:rPr>
        <w:br/>
        <w:t xml:space="preserve">без взаимодействия):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наблюдение за соблюдением обязательных требований (мониторинг безопасности); 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выездное обследование.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Контрольные мероприятия без взаимодействия проводятся должностными лицами на основании заданий руководителя контрольного органа (исполняющего обязанности руководителя контрольного органа).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4.11. Контрольные мероприятия могут проводиться путем совершения должностным лицом и лицами, привлекаемыми к проведению контрольного мероприятия, контрольных действий в порядке, определенном Федеральным законом №248-ФЗ.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4.12. Наблюдение за соблюдением обязательных требований (мониторинг безопасности) проводится без взаимодействия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порядке, установленном статьей 74 Федерального закона №248-ФЗ.</w:t>
      </w:r>
      <w:r/>
    </w:p>
    <w:p>
      <w:pPr>
        <w:pStyle w:val="94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4.13. Выездное обследование проводится в порядке, установленном статьей 75 Федерального закона №248-ФЗ. 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ab/>
        <w:t xml:space="preserve">1) осмотр;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2) инструментальное обследование;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3) экспертиза.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4.14. </w:t>
      </w:r>
      <w:r>
        <w:rPr>
          <w:sz w:val="28"/>
          <w:szCs w:val="28"/>
          <w:highlight w:val="white"/>
        </w:rPr>
        <w:t xml:space="preserve">При проведении контрольных мероприятий в рамках осуществления муниципального контроля должностное лицо: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ab/>
        <w:t xml:space="preserve">совершает действия, предусмотренные частью 2 статьи 29 Федерального закона №248-ФЗ;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4.15.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</w:t>
      </w:r>
      <w:r>
        <w:rPr>
          <w:sz w:val="28"/>
          <w:szCs w:val="28"/>
        </w:rPr>
        <w:br/>
        <w:t xml:space="preserve">с использованием мобильного приложения «Инспектор». Решение </w:t>
      </w:r>
      <w:r>
        <w:rPr>
          <w:sz w:val="28"/>
          <w:szCs w:val="28"/>
        </w:rPr>
        <w:br/>
        <w:t xml:space="preserve">о необходимости использования собственных технических средств, в том числе электронных вычислительных машин и электронных носителей информации, </w:t>
      </w:r>
      <w:r>
        <w:rPr>
          <w:sz w:val="28"/>
          <w:szCs w:val="28"/>
        </w:rPr>
        <w:t xml:space="preserve">копировальных аппара</w:t>
      </w:r>
      <w:r>
        <w:rPr>
          <w:sz w:val="28"/>
          <w:szCs w:val="28"/>
        </w:rPr>
        <w:t xml:space="preserve">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</w:t>
      </w:r>
      <w:r>
        <w:rPr>
          <w:sz w:val="28"/>
          <w:szCs w:val="28"/>
        </w:rPr>
        <w:br/>
        <w:t xml:space="preserve">при осуществлении контрольных мероприятий принимается должностными лицами самостоятельно.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Информация о проведении фотосъемки, аудио- и видеозаписи </w:t>
      </w:r>
      <w:r>
        <w:rPr>
          <w:sz w:val="28"/>
          <w:szCs w:val="28"/>
        </w:rPr>
        <w:br/>
        <w:t xml:space="preserve">и использованных для этих целей технических средствах отражается в акте контрольного мероприятия.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проведения фотосъемки</w:t>
      </w:r>
      <w:r>
        <w:rPr>
          <w:sz w:val="28"/>
          <w:szCs w:val="28"/>
        </w:rPr>
        <w:t xml:space="preserve">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/>
    </w:p>
    <w:p>
      <w:pPr>
        <w:pStyle w:val="782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4.16. Контрольный орган в соответствии со статьей 34 </w:t>
      </w:r>
      <w:r>
        <w:rPr>
          <w:rFonts w:eastAsia="Calibri"/>
          <w:sz w:val="28"/>
          <w:szCs w:val="28"/>
        </w:rPr>
        <w:t xml:space="preserve">Федерального закона №248-ФЗ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  <w:r/>
    </w:p>
    <w:p>
      <w:pPr>
        <w:pStyle w:val="782"/>
        <w:ind w:left="0" w:firstLine="709"/>
        <w:jc w:val="both"/>
        <w:tabs>
          <w:tab w:val="left" w:pos="1134" w:leader="none"/>
        </w:tabs>
      </w:pPr>
      <w:r>
        <w:rPr>
          <w:rFonts w:eastAsia="Calibri"/>
          <w:sz w:val="28"/>
          <w:szCs w:val="28"/>
        </w:rPr>
        <w:t xml:space="preserve">4.17. Случаями, при наступлении которых индивидуальный предприниматель, гражданин, являющиеся контролируемыми лицами, вправе </w:t>
      </w:r>
      <w:r>
        <w:rPr>
          <w:rFonts w:eastAsia="Calibri"/>
          <w:sz w:val="28"/>
          <w:szCs w:val="28"/>
        </w:rPr>
        <w:br/>
        <w:t xml:space="preserve">в соответствии с частью 8 статьи 31 Федерального закона №248-ФЗ, представить в контрольный орган информацию о невозможности присутствия </w:t>
      </w:r>
      <w:r>
        <w:rPr>
          <w:rFonts w:eastAsia="Calibri"/>
          <w:sz w:val="28"/>
          <w:szCs w:val="28"/>
        </w:rPr>
        <w:br/>
        <w:t xml:space="preserve">при проведении контрольного мероприятия являются:</w:t>
      </w:r>
      <w:r/>
    </w:p>
    <w:p>
      <w:pPr>
        <w:pStyle w:val="782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нахождение на стационарном лечении в медицинском учреждении;</w:t>
      </w:r>
      <w:r/>
    </w:p>
    <w:p>
      <w:pPr>
        <w:pStyle w:val="782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нахождение за пределами Российской Федерации;</w:t>
      </w:r>
      <w:r/>
    </w:p>
    <w:p>
      <w:pPr>
        <w:pStyle w:val="782"/>
        <w:ind w:left="0" w:firstLine="709"/>
        <w:jc w:val="both"/>
        <w:tabs>
          <w:tab w:val="left" w:pos="1134" w:leader="none"/>
        </w:tabs>
      </w:pPr>
      <w:r>
        <w:rPr>
          <w:rFonts w:eastAsia="Calibri"/>
          <w:sz w:val="28"/>
          <w:szCs w:val="28"/>
        </w:rPr>
        <w:t xml:space="preserve">- административный арест;</w:t>
      </w:r>
      <w:r/>
    </w:p>
    <w:p>
      <w:pPr>
        <w:pStyle w:val="782"/>
        <w:ind w:left="0" w:firstLine="709"/>
        <w:jc w:val="both"/>
        <w:tabs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избрание в отношении контролируемого лица меры пресечения в виде подписки о невыезде и надлежащем поведении, </w:t>
      </w:r>
      <w:r>
        <w:rPr>
          <w:rFonts w:eastAsia="Calibri"/>
          <w:sz w:val="28"/>
          <w:szCs w:val="28"/>
          <w:highlight w:val="white"/>
        </w:rPr>
        <w:t xml:space="preserve">запрете определенных действий</w:t>
      </w:r>
      <w:r>
        <w:rPr>
          <w:sz w:val="28"/>
          <w:szCs w:val="28"/>
        </w:rPr>
        <w:t xml:space="preserve">, заключения под стражу, домашнего ареста;</w:t>
      </w:r>
      <w:r/>
    </w:p>
    <w:p>
      <w:pPr>
        <w:pStyle w:val="782"/>
        <w:ind w:left="0" w:firstLine="709"/>
        <w:jc w:val="both"/>
        <w:tabs>
          <w:tab w:val="left" w:pos="1134" w:leader="none"/>
        </w:tabs>
      </w:pPr>
      <w:r>
        <w:rPr>
          <w:rFonts w:eastAsia="Calibri"/>
          <w:sz w:val="28"/>
          <w:szCs w:val="28"/>
        </w:rPr>
        <w:t xml:space="preserve">- наступление </w:t>
      </w:r>
      <w:r>
        <w:rPr>
          <w:rFonts w:eastAsia="Calibri"/>
          <w:iCs/>
          <w:sz w:val="28"/>
          <w:szCs w:val="28"/>
        </w:rPr>
        <w:t xml:space="preserve">обстоятельств непреодолимой силы, препятствующих присутствию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  <w:r/>
    </w:p>
    <w:p>
      <w:pPr>
        <w:ind w:firstLine="709"/>
        <w:jc w:val="both"/>
      </w:pPr>
      <w:r>
        <w:rPr>
          <w:rFonts w:eastAsia="Calibri"/>
          <w:sz w:val="28"/>
          <w:szCs w:val="28"/>
        </w:rPr>
        <w:t xml:space="preserve">Информация </w:t>
      </w:r>
      <w:r>
        <w:rPr>
          <w:rFonts w:eastAsia="Calibri"/>
          <w:iCs/>
          <w:sz w:val="28"/>
          <w:szCs w:val="28"/>
        </w:rPr>
        <w:t xml:space="preserve">контролируемого </w:t>
      </w:r>
      <w:r>
        <w:rPr>
          <w:rFonts w:eastAsia="Calibri"/>
          <w:sz w:val="28"/>
          <w:szCs w:val="28"/>
        </w:rPr>
        <w:t xml:space="preserve">лица должна содержать:</w:t>
      </w:r>
      <w:r/>
    </w:p>
    <w:p>
      <w:pPr>
        <w:pStyle w:val="782"/>
        <w:ind w:left="0" w:firstLine="709"/>
        <w:jc w:val="both"/>
        <w:tabs>
          <w:tab w:val="left" w:pos="99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описание обстоятельств, </w:t>
      </w:r>
      <w:r>
        <w:rPr>
          <w:rFonts w:eastAsia="Calibri"/>
          <w:iCs/>
          <w:sz w:val="28"/>
          <w:szCs w:val="28"/>
        </w:rPr>
        <w:t xml:space="preserve">препятствующих присутствию контролируемого лица при проведении контрольного мероприятия</w:t>
      </w:r>
      <w:r>
        <w:rPr>
          <w:rFonts w:eastAsia="Calibri"/>
          <w:sz w:val="28"/>
          <w:szCs w:val="28"/>
        </w:rPr>
        <w:t xml:space="preserve">;</w:t>
      </w:r>
      <w:r/>
    </w:p>
    <w:p>
      <w:pPr>
        <w:pStyle w:val="782"/>
        <w:ind w:left="0" w:firstLine="709"/>
        <w:jc w:val="both"/>
        <w:tabs>
          <w:tab w:val="left" w:pos="99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указание на срок, необходимый для устранения обстоятельств, препятствующих присутствию при проведении контрольного мероприятия.</w:t>
      </w:r>
      <w:r/>
    </w:p>
    <w:p>
      <w:pPr>
        <w:ind w:firstLine="709"/>
        <w:jc w:val="both"/>
      </w:pPr>
      <w:r>
        <w:rPr>
          <w:rFonts w:eastAsia="Calibri"/>
          <w:sz w:val="28"/>
          <w:szCs w:val="28"/>
        </w:rPr>
        <w:t xml:space="preserve">При предоставлении указанной информации проведение контрольного мероприятия переносится контрольным органом на срок, необходимый 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для устранения обстоятельств, послуживших поводом для данного обращения индивидуального предпринимателя, гражданина.</w:t>
      </w:r>
      <w:r/>
    </w:p>
    <w:p>
      <w:pPr>
        <w:ind w:firstLine="709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Результаты контрольного мероприятия</w:t>
      </w:r>
      <w:r/>
    </w:p>
    <w:p>
      <w:pPr>
        <w:ind w:firstLine="709"/>
        <w:jc w:val="center"/>
        <w:widowControl w:val="off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 результатам контрольных мероприятий контрольный орган принимает решения и оформляет их в соответствии с главой 16 Федерального закона №248-ФЗ.</w:t>
      </w:r>
      <w:r/>
    </w:p>
    <w:p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>
        <w:rPr>
          <w:sz w:val="28"/>
          <w:szCs w:val="28"/>
        </w:rPr>
        <w:t xml:space="preserve">5.2. </w:t>
      </w:r>
      <w:r>
        <w:rPr>
          <w:rFonts w:eastAsia="Calibri"/>
          <w:sz w:val="28"/>
          <w:szCs w:val="28"/>
          <w:highlight w:val="white"/>
        </w:rPr>
        <w:t xml:space="preserve">По окончании проведения контрольного мероприятия,</w:t>
      </w:r>
      <w:r>
        <w:rPr>
          <w:sz w:val="28"/>
          <w:szCs w:val="28"/>
          <w:highlight w:val="white"/>
        </w:rPr>
        <w:t xml:space="preserve"> предусматривающего взаимодействие с контролируемым лицом, а также </w:t>
      </w:r>
      <w:r>
        <w:rPr>
          <w:sz w:val="28"/>
          <w:szCs w:val="28"/>
          <w:highlight w:val="white"/>
        </w:rPr>
        <w:br/>
        <w:t xml:space="preserve">в случаях, установленных Федеральным законом №248-ФЗ, по окончании обязательного профилактического визита или контрольного мероприятия </w:t>
      </w:r>
      <w:r>
        <w:rPr>
          <w:sz w:val="28"/>
          <w:szCs w:val="28"/>
          <w:highlight w:val="white"/>
        </w:rPr>
        <w:br/>
        <w:t xml:space="preserve">без взаимодействия,</w:t>
      </w:r>
      <w:r>
        <w:rPr>
          <w:rFonts w:eastAsia="Calibri"/>
          <w:sz w:val="28"/>
          <w:szCs w:val="28"/>
          <w:highlight w:val="white"/>
        </w:rPr>
        <w:t xml:space="preserve"> составляется акт контрольного мероприятия (далее – акт). 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</w:t>
      </w:r>
      <w:r>
        <w:rPr>
          <w:rFonts w:eastAsia="Calibri"/>
          <w:sz w:val="28"/>
          <w:szCs w:val="28"/>
        </w:rPr>
        <w:br/>
        <w:t xml:space="preserve">и его структурной единицей оно установлено. 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</w:t>
      </w:r>
      <w:r>
        <w:rPr>
          <w:sz w:val="28"/>
          <w:szCs w:val="28"/>
        </w:rPr>
        <w:t xml:space="preserve">предусматривающего взаимодействие </w:t>
      </w:r>
      <w:r>
        <w:rPr>
          <w:sz w:val="28"/>
          <w:szCs w:val="28"/>
        </w:rPr>
        <w:br/>
        <w:t xml:space="preserve">с контролируемым лицом, </w:t>
      </w:r>
      <w:r>
        <w:rPr>
          <w:rFonts w:eastAsia="Calibri"/>
          <w:sz w:val="28"/>
          <w:szCs w:val="28"/>
        </w:rPr>
        <w:t xml:space="preserve">в акте указывается факт его устранения. </w:t>
      </w:r>
      <w:r/>
    </w:p>
    <w:p>
      <w:pPr>
        <w:ind w:firstLine="709"/>
        <w:jc w:val="both"/>
        <w:rPr>
          <w:strike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приобщаются к акту.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составляется в сроки, определенные частью 3 статьи 87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5.3.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</w:t>
      </w:r>
      <w:r>
        <w:rPr>
          <w:sz w:val="28"/>
          <w:szCs w:val="28"/>
        </w:rPr>
        <w:br/>
        <w:t xml:space="preserve">(далее – ЕРКНМ) непосредственно после его оформления.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5.4.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</w:t>
      </w:r>
      <w:r>
        <w:rPr>
          <w:sz w:val="28"/>
          <w:szCs w:val="28"/>
        </w:rPr>
        <w:br/>
        <w:t xml:space="preserve">по результатам контрольного мероприятия на месте его проведения невозможно по </w:t>
      </w:r>
      <w:r>
        <w:rPr>
          <w:sz w:val="28"/>
          <w:szCs w:val="28"/>
        </w:rPr>
        <w:t xml:space="preserve">причине совершения контрольных действий, предусмотренных пунктами 7, 9 части 1 статьи 65 Федерального закона №248-ФЗ, или в иных случаях, контрольный орган направляет акт контролируемому лицу в порядке, установленном статьей 21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5.5. В случае невозможности составления акта на месте проведения контрольного мероприятия в день окончания проведения такого мероприятия </w:t>
      </w:r>
      <w:r>
        <w:rPr>
          <w:sz w:val="28"/>
          <w:szCs w:val="28"/>
        </w:rPr>
        <w:br/>
        <w:t xml:space="preserve">в соответствии с част</w:t>
      </w:r>
      <w:r>
        <w:rPr>
          <w:sz w:val="28"/>
          <w:szCs w:val="28"/>
        </w:rPr>
        <w:t xml:space="preserve">ью 3 статьи 87 Федерального закона №248-ФЗ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5.6. В случае выявления при проведении контрольного мероприятия нарушений обязательных требований контролируемым лицом контрольный </w:t>
      </w:r>
      <w:r>
        <w:rPr>
          <w:sz w:val="28"/>
          <w:szCs w:val="28"/>
        </w:rPr>
        <w:t xml:space="preserve">орган принимает решения в соответствии с частью 2 статьи 90 Федерального закона №248-ФЗ. 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5.7 По результатам проведения контрольных мероприятий публичная оценка уровня соблюдения обязательных требований не присваивается.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 Обжалование решений контрольного органа, действий (бездействия) его должностных лиц</w:t>
      </w:r>
      <w:r/>
    </w:p>
    <w:p>
      <w:pPr>
        <w:ind w:firstLine="70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6.1. Правом на обжалование решений контрольного органа, действий (бездействия) его должностных лиц обладает контролируемое </w:t>
      </w:r>
      <w:r>
        <w:rPr>
          <w:sz w:val="28"/>
          <w:szCs w:val="28"/>
          <w:highlight w:val="white"/>
        </w:rPr>
        <w:t xml:space="preserve">лицо,   </w:t>
      </w:r>
      <w:r>
        <w:rPr>
          <w:sz w:val="28"/>
          <w:szCs w:val="28"/>
          <w:highlight w:val="white"/>
        </w:rPr>
        <w:t xml:space="preserve">                                       в отношении которого приняты решения или совершены действия (бездействие), указанные в части 4 статьи 40 Федерального закона №248-ФЗ.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6.2. Судебное обжалование реш</w:t>
      </w:r>
      <w:r>
        <w:rPr>
          <w:sz w:val="28"/>
          <w:szCs w:val="28"/>
          <w:highlight w:val="white"/>
        </w:rPr>
        <w:t xml:space="preserve">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6.3. Досудебное обжалование решений контрольного органа, действий (бездействия) его должностных лиц осуществляется в соответствии с главой 9 Федерального закона №248-ФЗ.</w:t>
      </w:r>
      <w:r/>
    </w:p>
    <w:p>
      <w:pPr>
        <w:ind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6.4. Жалобу контролируемое лицо подает в соответствии со статьями 40, 41 Федерального закона №248-ФЗ.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</w:t>
      </w:r>
      <w:r>
        <w:rPr>
          <w:sz w:val="28"/>
          <w:szCs w:val="28"/>
        </w:rPr>
        <w:br/>
        <w:t xml:space="preserve">и муниципальных услуг </w:t>
      </w:r>
      <w:r>
        <w:rPr>
          <w:sz w:val="28"/>
          <w:szCs w:val="28"/>
          <w:highlight w:val="white"/>
        </w:rPr>
        <w:t xml:space="preserve">(функций) непосредственно в контрольный орган</w:t>
      </w:r>
      <w:r>
        <w:rPr>
          <w:sz w:val="28"/>
          <w:szCs w:val="28"/>
        </w:rPr>
        <w:t xml:space="preserve">, находящийся по адресу: 628624, Ханты-Мансийский автономный округ - Югра, город Нижневартовск, улица Ханты-Мансийская, 35,</w:t>
      </w:r>
      <w:r>
        <w:rPr>
          <w:sz w:val="28"/>
          <w:szCs w:val="28"/>
          <w:highlight w:val="white"/>
        </w:rPr>
        <w:t xml:space="preserve"> одним </w:t>
      </w:r>
      <w:r>
        <w:rPr>
          <w:sz w:val="28"/>
          <w:szCs w:val="28"/>
        </w:rPr>
        <w:t xml:space="preserve">из следующих способов:</w:t>
      </w:r>
      <w:r/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лично, обратившись в контрольный орган;</w:t>
      </w:r>
      <w:r/>
    </w:p>
    <w:p>
      <w:pPr>
        <w:ind w:firstLine="709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почтовой связью.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Рассмотрение жалобы, содержащей сведения и документы, составляющие государственную или иную охраняемую законом тайну, осу</w:t>
      </w:r>
      <w:r>
        <w:rPr>
          <w:sz w:val="28"/>
          <w:szCs w:val="28"/>
        </w:rPr>
        <w:t xml:space="preserve">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Жалобу на решение контрольного органа, действия (бездействие) его должностных лиц рассматривает руководитель контрольного органа, исполняющий обязанности руководителя контрольного органа.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действия (бездействие) руководителя контрольного органа рассматривается заместителем главы города, курирующим контрольный орган.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Жалоба рассматривается в порядке и в сроки, предусмотренные статьей 43 Федерального закона №248-ФЗ.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Заключительные положения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7.1. До 31 декабря 2025 года информирование контролируемого лица </w:t>
      </w:r>
      <w:r>
        <w:rPr>
          <w:sz w:val="28"/>
          <w:szCs w:val="28"/>
        </w:rPr>
        <w:br/>
        <w:t xml:space="preserve">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</w:t>
      </w:r>
      <w:r>
        <w:rPr>
          <w:sz w:val="28"/>
          <w:szCs w:val="28"/>
        </w:rPr>
        <w:br/>
        <w:t xml:space="preserve">в соответствии со статьей 21 Федерального закона №248-ФЗ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</w:t>
      </w:r>
      <w:r>
        <w:rPr>
          <w:sz w:val="28"/>
          <w:szCs w:val="28"/>
        </w:rPr>
        <w:br/>
        <w:t xml:space="preserve">в электронной форме либо по запросу контролируемого лица. 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  <w:r/>
    </w:p>
    <w:p>
      <w:pPr>
        <w:ind w:firstLine="709"/>
        <w:jc w:val="both"/>
        <w:rPr>
          <w:sz w:val="28"/>
          <w:szCs w:val="28"/>
          <w:highlight w:val="yellow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701" w:header="720" w:footer="720" w:gutter="0"/>
          <w:pgNumType w:start="2"/>
          <w:cols w:num="1" w:sep="0" w:space="720" w:equalWidth="1"/>
          <w:docGrid w:linePitch="360"/>
          <w:titlePg/>
        </w:sectPr>
      </w:pPr>
      <w:r>
        <w:rPr>
          <w:sz w:val="28"/>
          <w:szCs w:val="28"/>
          <w:highlight w:val="yellow"/>
        </w:rPr>
      </w:r>
      <w:r/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9"/>
        <w:jc w:val="right"/>
        <w:rPr>
          <w:rFonts w:ascii="TimesNewRoman" w:hAnsi="TimesNewRoman" w:eastAsia="TimesNewRoman" w:cs="TimesNewRoman"/>
          <w:sz w:val="24"/>
          <w:szCs w:val="20"/>
          <w:highlight w:val="white"/>
          <w:lang w:eastAsia="zh-CN"/>
        </w:rPr>
        <w:outlineLvl w:val="1"/>
      </w:pPr>
      <w:r>
        <w:rPr>
          <w:rFonts w:eastAsia="TimesNewRoman"/>
          <w:sz w:val="28"/>
          <w:szCs w:val="28"/>
          <w:highlight w:val="white"/>
          <w:lang w:eastAsia="zh-CN"/>
        </w:rPr>
        <w:t xml:space="preserve">Приложение </w:t>
      </w:r>
      <w:r/>
    </w:p>
    <w:p>
      <w:pPr>
        <w:ind w:firstLine="709"/>
        <w:jc w:val="right"/>
        <w:rPr>
          <w:rFonts w:eastAsia="TimesNewRoman"/>
          <w:sz w:val="28"/>
          <w:szCs w:val="28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 xml:space="preserve">к Положению о муниципальном </w:t>
      </w:r>
      <w:r/>
    </w:p>
    <w:p>
      <w:pPr>
        <w:ind w:firstLine="709"/>
        <w:jc w:val="right"/>
        <w:rPr>
          <w:rFonts w:ascii="TimesNewRoman" w:hAnsi="TimesNewRoman" w:eastAsia="TimesNewRoman" w:cs="TimesNewRoman"/>
          <w:sz w:val="24"/>
          <w:szCs w:val="20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 xml:space="preserve">лесном контроле</w:t>
      </w:r>
      <w:r/>
    </w:p>
    <w:p>
      <w:pPr>
        <w:ind w:firstLine="709"/>
        <w:jc w:val="center"/>
        <w:widowControl w:val="off"/>
        <w:rPr>
          <w:rFonts w:ascii="Arial" w:hAnsi="Arial" w:eastAsia="Droid Sans Fallback" w:cs="Arial"/>
          <w:b/>
          <w:bCs/>
          <w:sz w:val="24"/>
          <w:szCs w:val="24"/>
        </w:rPr>
      </w:pPr>
      <w:r>
        <w:rPr>
          <w:rFonts w:ascii="Arial" w:hAnsi="Arial" w:eastAsia="Droid Sans Fallback" w:cs="Arial"/>
          <w:b/>
          <w:bCs/>
          <w:sz w:val="24"/>
          <w:szCs w:val="24"/>
        </w:rPr>
      </w:r>
      <w:r/>
    </w:p>
    <w:p>
      <w:pPr>
        <w:ind w:firstLine="709"/>
        <w:jc w:val="center"/>
        <w:widowControl w:val="off"/>
        <w:rPr>
          <w:rFonts w:ascii="Arial" w:hAnsi="Arial" w:eastAsia="Droid Sans Fallback" w:cs="Arial"/>
          <w:b/>
          <w:bCs/>
          <w:sz w:val="24"/>
          <w:szCs w:val="24"/>
        </w:rPr>
      </w:pPr>
      <w:r>
        <w:rPr>
          <w:rFonts w:ascii="Arial" w:hAnsi="Arial" w:eastAsia="Droid Sans Fallback" w:cs="Arial"/>
          <w:b/>
          <w:bCs/>
          <w:sz w:val="24"/>
          <w:szCs w:val="24"/>
        </w:rPr>
      </w:r>
      <w:r/>
    </w:p>
    <w:p>
      <w:pPr>
        <w:ind w:firstLine="709"/>
        <w:jc w:val="center"/>
        <w:widowControl w:val="off"/>
        <w:rPr>
          <w:rFonts w:ascii="Arial" w:hAnsi="Arial" w:eastAsia="Droid Sans Fallback" w:cs="Arial"/>
          <w:b/>
          <w:bCs/>
          <w:sz w:val="24"/>
          <w:szCs w:val="24"/>
        </w:rPr>
      </w:pPr>
      <w:r>
        <w:rPr>
          <w:rFonts w:ascii="Arial" w:hAnsi="Arial" w:eastAsia="Droid Sans Fallback" w:cs="Arial"/>
          <w:b/>
          <w:bCs/>
          <w:sz w:val="24"/>
          <w:szCs w:val="24"/>
        </w:rPr>
      </w:r>
      <w:r/>
    </w:p>
    <w:p>
      <w:pPr>
        <w:ind w:left="3600" w:firstLine="720"/>
        <w:widowControl w:val="off"/>
        <w:rPr>
          <w:rFonts w:eastAsia="Droid Sans Fallback"/>
          <w:b/>
          <w:bCs/>
          <w:sz w:val="28"/>
          <w:szCs w:val="28"/>
        </w:rPr>
      </w:pPr>
      <w:r>
        <w:rPr>
          <w:rFonts w:eastAsia="Droid Sans Fallback"/>
          <w:b/>
          <w:bCs/>
          <w:sz w:val="28"/>
          <w:szCs w:val="28"/>
        </w:rPr>
        <w:t xml:space="preserve">КРИТЕРИИ</w:t>
      </w:r>
      <w:r/>
    </w:p>
    <w:p>
      <w:pPr>
        <w:ind w:firstLine="709"/>
        <w:jc w:val="center"/>
        <w:widowControl w:val="off"/>
        <w:rPr>
          <w:rFonts w:eastAsia="Droid Sans Fallback" w:cs="Droid Sans Devanagari"/>
          <w:b/>
          <w:bCs/>
          <w:sz w:val="28"/>
          <w:szCs w:val="28"/>
        </w:rPr>
      </w:pPr>
      <w:r>
        <w:rPr>
          <w:rFonts w:eastAsia="Droid Sans Fallback" w:cs="Droid Sans Devanagari"/>
          <w:b/>
          <w:sz w:val="28"/>
          <w:szCs w:val="28"/>
        </w:rPr>
        <w:t xml:space="preserve">ОТНЕСЕНИЯ ОБЪЕКТОВ КОНТРОЛЯ К ОПРЕДЕЛЕННОЙ КАТЕГОРИИ РИСКА </w:t>
      </w:r>
      <w:r/>
    </w:p>
    <w:p>
      <w:pPr>
        <w:ind w:firstLine="709"/>
        <w:jc w:val="both"/>
        <w:widowControl w:val="off"/>
        <w:rPr>
          <w:rFonts w:eastAsia="Droid Sans Fallback" w:cs="Droid Sans Devanagari"/>
          <w:sz w:val="24"/>
          <w:szCs w:val="24"/>
        </w:rPr>
      </w:pPr>
      <w:r>
        <w:rPr>
          <w:rFonts w:eastAsia="Droid Sans Fallback" w:cs="Droid Sans Devanagari"/>
          <w:sz w:val="24"/>
          <w:szCs w:val="24"/>
        </w:rPr>
      </w:r>
      <w:r/>
    </w:p>
    <w:p>
      <w:pPr>
        <w:ind w:firstLine="709"/>
        <w:jc w:val="both"/>
        <w:widowControl w:val="off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лесного контроля подлежат отнесению </w:t>
      </w:r>
      <w:r>
        <w:rPr>
          <w:rFonts w:eastAsia="Droid Sans Fallback" w:cs="Droid Sans Devanagari"/>
          <w:sz w:val="28"/>
          <w:szCs w:val="28"/>
        </w:rPr>
        <w:br/>
        <w:t xml:space="preserve">к категориям среднего, умеренного и низкого риска.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2. </w:t>
      </w:r>
      <w:r>
        <w:rPr>
          <w:sz w:val="28"/>
          <w:szCs w:val="28"/>
        </w:rPr>
        <w:t xml:space="preserve">Критериями отнесения объекта муниципального контроля к средней категории риска является - наличие факта привлечения в течение года контролируемого лица к административной ответственности за нарушения</w:t>
      </w:r>
      <w:r>
        <w:rPr>
          <w:sz w:val="28"/>
          <w:szCs w:val="28"/>
        </w:rPr>
        <w:br/>
        <w:t xml:space="preserve">в сфере лесного законодательства и не исполнение предписания при наличии обстоятельств, отягчающих административную ответственность, предусмотренных законодательством Российской Федерации </w:t>
      </w:r>
      <w:r>
        <w:rPr>
          <w:sz w:val="28"/>
          <w:szCs w:val="28"/>
        </w:rPr>
        <w:br/>
        <w:t xml:space="preserve">об административных правонарушениях.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Критериями отнесения объекта муниципального контроля к умеренной категории риска является - наличие факта привлечения в течение года контролируемого лица к административной ответственности за нарушения </w:t>
      </w:r>
      <w:r>
        <w:rPr>
          <w:sz w:val="28"/>
          <w:szCs w:val="28"/>
        </w:rPr>
        <w:br/>
        <w:t xml:space="preserve">в сфере лесного законодательства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правонарушениях.</w:t>
      </w:r>
      <w:r/>
    </w:p>
    <w:p>
      <w:pPr>
        <w:ind w:firstLine="709"/>
        <w:jc w:val="both"/>
        <w:widowControl w:val="off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4. Критерием отнесения объекта муниципального контроля к низкой категории риска является - отсутствие обстоятельств, предусмотренных </w:t>
      </w:r>
      <w:r>
        <w:rPr>
          <w:rFonts w:eastAsia="Droid Sans Fallback" w:cs="Droid Sans Devanagari"/>
          <w:sz w:val="28"/>
          <w:szCs w:val="28"/>
        </w:rPr>
        <w:br/>
        <w:t xml:space="preserve">для среднего и умеренного риска.</w:t>
      </w:r>
      <w:r/>
    </w:p>
    <w:p>
      <w:pPr>
        <w:pStyle w:val="943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3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3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14</w:t>
    </w:r>
    <w:r>
      <w:rPr>
        <w:sz w:val="24"/>
        <w:szCs w:val="24"/>
      </w:rPr>
      <w:fldChar w:fldCharType="end"/>
    </w:r>
    <w:r/>
  </w:p>
  <w:p>
    <w:pPr>
      <w:pStyle w:val="9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80777937"/>
      <w:docPartObj>
        <w:docPartGallery w:val="Page Numbers (Top of Page)"/>
        <w:docPartUnique w:val="true"/>
      </w:docPartObj>
      <w:rPr/>
    </w:sdtPr>
    <w:sdtContent>
      <w:p>
        <w:pPr>
          <w:pStyle w:val="93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15</w:t>
        </w:r>
        <w:r>
          <w:fldChar w:fldCharType="end"/>
        </w:r>
        <w:r/>
      </w:p>
    </w:sdtContent>
  </w:sdt>
  <w:p>
    <w:pPr>
      <w:pStyle w:val="9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1416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4" w:hanging="405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6"/>
  </w:num>
  <w:num w:numId="5">
    <w:abstractNumId w:val="2"/>
  </w:num>
  <w:num w:numId="6">
    <w:abstractNumId w:val="8"/>
  </w:num>
  <w:num w:numId="7">
    <w:abstractNumId w:val="21"/>
  </w:num>
  <w:num w:numId="8">
    <w:abstractNumId w:val="6"/>
  </w:num>
  <w:num w:numId="9">
    <w:abstractNumId w:val="10"/>
  </w:num>
  <w:num w:numId="10">
    <w:abstractNumId w:val="18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20"/>
  </w:num>
  <w:num w:numId="19">
    <w:abstractNumId w:val="4"/>
  </w:num>
  <w:num w:numId="20">
    <w:abstractNumId w:val="1"/>
  </w:num>
  <w:num w:numId="21">
    <w:abstractNumId w:val="3"/>
  </w:num>
  <w:num w:numId="22">
    <w:abstractNumId w:val="7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  <w:rPr>
      <w:sz w:val="16"/>
      <w:szCs w:val="16"/>
    </w:rPr>
  </w:style>
  <w:style w:type="paragraph" w:styleId="727">
    <w:name w:val="Heading 1"/>
    <w:basedOn w:val="726"/>
    <w:next w:val="726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next w:val="726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next w:val="726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basedOn w:val="73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basedOn w:val="736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Title Char"/>
    <w:basedOn w:val="736"/>
    <w:uiPriority w:val="10"/>
    <w:rPr>
      <w:sz w:val="48"/>
      <w:szCs w:val="48"/>
    </w:rPr>
  </w:style>
  <w:style w:type="character" w:styleId="749" w:customStyle="1">
    <w:name w:val="Subtitle Char"/>
    <w:basedOn w:val="736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table" w:styleId="752">
    <w:name w:val="Plain Table 1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3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3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3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5 Dark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>
    <w:name w:val="Grid Table 7 Colorful"/>
    <w:basedOn w:val="73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73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73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73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>
    <w:name w:val="List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0">
    <w:name w:val="List Table 7 Colorful"/>
    <w:basedOn w:val="73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1" w:customStyle="1">
    <w:name w:val="Footnote Text Char"/>
    <w:uiPriority w:val="99"/>
    <w:rPr>
      <w:sz w:val="18"/>
    </w:rPr>
  </w:style>
  <w:style w:type="character" w:styleId="772" w:customStyle="1">
    <w:name w:val="Endnote Text Char"/>
    <w:uiPriority w:val="99"/>
    <w:rPr>
      <w:sz w:val="20"/>
    </w:rPr>
  </w:style>
  <w:style w:type="character" w:styleId="773" w:customStyle="1">
    <w:name w:val="Заголовок 1 Знак"/>
    <w:link w:val="727"/>
    <w:uiPriority w:val="9"/>
    <w:rPr>
      <w:rFonts w:ascii="Arial" w:hAnsi="Arial" w:eastAsia="Arial" w:cs="Arial"/>
      <w:sz w:val="40"/>
      <w:szCs w:val="40"/>
    </w:rPr>
  </w:style>
  <w:style w:type="character" w:styleId="774" w:customStyle="1">
    <w:name w:val="Заголовок 2 Знак"/>
    <w:link w:val="728"/>
    <w:uiPriority w:val="9"/>
    <w:rPr>
      <w:rFonts w:ascii="Arial" w:hAnsi="Arial" w:eastAsia="Arial" w:cs="Arial"/>
      <w:sz w:val="34"/>
    </w:rPr>
  </w:style>
  <w:style w:type="character" w:styleId="775" w:customStyle="1">
    <w:name w:val="Заголовок 3 Знак"/>
    <w:link w:val="729"/>
    <w:uiPriority w:val="9"/>
    <w:rPr>
      <w:rFonts w:ascii="Arial" w:hAnsi="Arial" w:eastAsia="Arial" w:cs="Arial"/>
      <w:sz w:val="30"/>
      <w:szCs w:val="30"/>
    </w:rPr>
  </w:style>
  <w:style w:type="character" w:styleId="776" w:customStyle="1">
    <w:name w:val="Заголовок 4 Знак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Заголовок 5 Знак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Заголовок 6 Знак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Заголовок 7 Знак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726"/>
    <w:qFormat/>
    <w:pPr>
      <w:contextualSpacing/>
      <w:ind w:left="720"/>
    </w:pPr>
  </w:style>
  <w:style w:type="paragraph" w:styleId="783">
    <w:name w:val="No Spacing"/>
    <w:uiPriority w:val="1"/>
    <w:qFormat/>
  </w:style>
  <w:style w:type="paragraph" w:styleId="784">
    <w:name w:val="Title"/>
    <w:basedOn w:val="726"/>
    <w:next w:val="726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 w:customStyle="1">
    <w:name w:val="Заголовок Знак"/>
    <w:link w:val="784"/>
    <w:uiPriority w:val="10"/>
    <w:rPr>
      <w:sz w:val="48"/>
      <w:szCs w:val="48"/>
    </w:rPr>
  </w:style>
  <w:style w:type="paragraph" w:styleId="786">
    <w:name w:val="Subtitle"/>
    <w:basedOn w:val="726"/>
    <w:next w:val="726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 w:customStyle="1">
    <w:name w:val="Подзаголовок Знак"/>
    <w:link w:val="786"/>
    <w:uiPriority w:val="11"/>
    <w:rPr>
      <w:sz w:val="24"/>
      <w:szCs w:val="24"/>
    </w:rPr>
  </w:style>
  <w:style w:type="paragraph" w:styleId="788">
    <w:name w:val="Quote"/>
    <w:basedOn w:val="726"/>
    <w:next w:val="726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26"/>
    <w:next w:val="726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36"/>
    <w:uiPriority w:val="99"/>
  </w:style>
  <w:style w:type="character" w:styleId="793" w:customStyle="1">
    <w:name w:val="Footer Char"/>
    <w:basedOn w:val="736"/>
    <w:uiPriority w:val="99"/>
  </w:style>
  <w:style w:type="paragraph" w:styleId="794">
    <w:name w:val="Caption"/>
    <w:basedOn w:val="726"/>
    <w:next w:val="72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5" w:customStyle="1">
    <w:name w:val="Caption Char"/>
    <w:uiPriority w:val="99"/>
  </w:style>
  <w:style w:type="table" w:styleId="796">
    <w:name w:val="Table Grid"/>
    <w:basedOn w:val="73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7" w:customStyle="1">
    <w:name w:val="Table Grid Light"/>
    <w:basedOn w:val="737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98" w:customStyle="1">
    <w:name w:val="Таблица простая 11"/>
    <w:basedOn w:val="737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21"/>
    <w:basedOn w:val="737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Таблица простая 31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 w:customStyle="1">
    <w:name w:val="Таблица простая 41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а простая 51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1 светлая1"/>
    <w:basedOn w:val="737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1"/>
    <w:basedOn w:val="737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2"/>
    <w:basedOn w:val="737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3"/>
    <w:basedOn w:val="737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4"/>
    <w:basedOn w:val="737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5"/>
    <w:basedOn w:val="737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6"/>
    <w:basedOn w:val="737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Таблица-сетка 21"/>
    <w:basedOn w:val="737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1"/>
    <w:basedOn w:val="737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2"/>
    <w:basedOn w:val="737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3"/>
    <w:basedOn w:val="737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4"/>
    <w:basedOn w:val="737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5"/>
    <w:basedOn w:val="737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6"/>
    <w:basedOn w:val="737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Таблица-сетка 31"/>
    <w:basedOn w:val="737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1"/>
    <w:basedOn w:val="737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2"/>
    <w:basedOn w:val="737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3"/>
    <w:basedOn w:val="737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4"/>
    <w:basedOn w:val="737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5"/>
    <w:basedOn w:val="737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6"/>
    <w:basedOn w:val="737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Таблица-сетка 41"/>
    <w:basedOn w:val="737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25" w:customStyle="1">
    <w:name w:val="Grid Table 4 - Accent 1"/>
    <w:basedOn w:val="737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826" w:customStyle="1">
    <w:name w:val="Grid Table 4 - Accent 2"/>
    <w:basedOn w:val="737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827" w:customStyle="1">
    <w:name w:val="Grid Table 4 - Accent 3"/>
    <w:basedOn w:val="737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828" w:customStyle="1">
    <w:name w:val="Grid Table 4 - Accent 4"/>
    <w:basedOn w:val="737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829" w:customStyle="1">
    <w:name w:val="Grid Table 4 - Accent 5"/>
    <w:basedOn w:val="737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830" w:customStyle="1">
    <w:name w:val="Grid Table 4 - Accent 6"/>
    <w:basedOn w:val="737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831" w:customStyle="1">
    <w:name w:val="Таблица-сетка 5 темная1"/>
    <w:basedOn w:val="73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832" w:customStyle="1">
    <w:name w:val="Grid Table 5 Dark- Accent 1"/>
    <w:basedOn w:val="73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833" w:customStyle="1">
    <w:name w:val="Grid Table 5 Dark - Accent 2"/>
    <w:basedOn w:val="73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834" w:customStyle="1">
    <w:name w:val="Grid Table 5 Dark - Accent 3"/>
    <w:basedOn w:val="73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835" w:customStyle="1">
    <w:name w:val="Grid Table 5 Dark- Accent 4"/>
    <w:basedOn w:val="73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836" w:customStyle="1">
    <w:name w:val="Grid Table 5 Dark - Accent 5"/>
    <w:basedOn w:val="73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837" w:customStyle="1">
    <w:name w:val="Grid Table 5 Dark - Accent 6"/>
    <w:basedOn w:val="737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838" w:customStyle="1">
    <w:name w:val="Таблица-сетка 6 цветная1"/>
    <w:basedOn w:val="737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39" w:customStyle="1">
    <w:name w:val="Grid Table 6 Colorful - Accent 1"/>
    <w:basedOn w:val="737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840" w:customStyle="1">
    <w:name w:val="Grid Table 6 Colorful - Accent 2"/>
    <w:basedOn w:val="737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41" w:customStyle="1">
    <w:name w:val="Grid Table 6 Colorful - Accent 3"/>
    <w:basedOn w:val="737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42" w:customStyle="1">
    <w:name w:val="Grid Table 6 Colorful - Accent 4"/>
    <w:basedOn w:val="737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43" w:customStyle="1">
    <w:name w:val="Grid Table 6 Colorful - Accent 5"/>
    <w:basedOn w:val="737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44" w:customStyle="1">
    <w:name w:val="Grid Table 6 Colorful - Accent 6"/>
    <w:basedOn w:val="737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45" w:customStyle="1">
    <w:name w:val="Таблица-сетка 7 цветная1"/>
    <w:basedOn w:val="737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1"/>
    <w:basedOn w:val="737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2"/>
    <w:basedOn w:val="737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3"/>
    <w:basedOn w:val="737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4"/>
    <w:basedOn w:val="737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5"/>
    <w:basedOn w:val="737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6"/>
    <w:basedOn w:val="737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Список-таблица 1 светлая1"/>
    <w:basedOn w:val="737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1"/>
    <w:basedOn w:val="737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2"/>
    <w:basedOn w:val="737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3"/>
    <w:basedOn w:val="737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4"/>
    <w:basedOn w:val="737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5"/>
    <w:basedOn w:val="737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6"/>
    <w:basedOn w:val="737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Список-таблица 21"/>
    <w:basedOn w:val="737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60" w:customStyle="1">
    <w:name w:val="List Table 2 - Accent 1"/>
    <w:basedOn w:val="737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61" w:customStyle="1">
    <w:name w:val="List Table 2 - Accent 2"/>
    <w:basedOn w:val="737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62" w:customStyle="1">
    <w:name w:val="List Table 2 - Accent 3"/>
    <w:basedOn w:val="737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63" w:customStyle="1">
    <w:name w:val="List Table 2 - Accent 4"/>
    <w:basedOn w:val="737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64" w:customStyle="1">
    <w:name w:val="List Table 2 - Accent 5"/>
    <w:basedOn w:val="737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65" w:customStyle="1">
    <w:name w:val="List Table 2 - Accent 6"/>
    <w:basedOn w:val="737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66" w:customStyle="1">
    <w:name w:val="Список-таблица 31"/>
    <w:basedOn w:val="737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1"/>
    <w:basedOn w:val="737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2"/>
    <w:basedOn w:val="737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3"/>
    <w:basedOn w:val="737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4"/>
    <w:basedOn w:val="737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5"/>
    <w:basedOn w:val="737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6"/>
    <w:basedOn w:val="737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Список-таблица 41"/>
    <w:basedOn w:val="737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1"/>
    <w:basedOn w:val="737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2"/>
    <w:basedOn w:val="737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3"/>
    <w:basedOn w:val="737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4"/>
    <w:basedOn w:val="737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5"/>
    <w:basedOn w:val="737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6"/>
    <w:basedOn w:val="737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5 темная1"/>
    <w:basedOn w:val="737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1" w:customStyle="1">
    <w:name w:val="List Table 5 Dark - Accent 1"/>
    <w:basedOn w:val="737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2" w:customStyle="1">
    <w:name w:val="List Table 5 Dark - Accent 2"/>
    <w:basedOn w:val="737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3" w:customStyle="1">
    <w:name w:val="List Table 5 Dark - Accent 3"/>
    <w:basedOn w:val="737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4" w:customStyle="1">
    <w:name w:val="List Table 5 Dark - Accent 4"/>
    <w:basedOn w:val="737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5" w:customStyle="1">
    <w:name w:val="List Table 5 Dark - Accent 5"/>
    <w:basedOn w:val="737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6" w:customStyle="1">
    <w:name w:val="List Table 5 Dark - Accent 6"/>
    <w:basedOn w:val="737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7" w:customStyle="1">
    <w:name w:val="Список-таблица 6 цветная1"/>
    <w:basedOn w:val="737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88" w:customStyle="1">
    <w:name w:val="List Table 6 Colorful - Accent 1"/>
    <w:basedOn w:val="737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89" w:customStyle="1">
    <w:name w:val="List Table 6 Colorful - Accent 2"/>
    <w:basedOn w:val="737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90" w:customStyle="1">
    <w:name w:val="List Table 6 Colorful - Accent 3"/>
    <w:basedOn w:val="737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91" w:customStyle="1">
    <w:name w:val="List Table 6 Colorful - Accent 4"/>
    <w:basedOn w:val="737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92" w:customStyle="1">
    <w:name w:val="List Table 6 Colorful - Accent 5"/>
    <w:basedOn w:val="737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93" w:customStyle="1">
    <w:name w:val="List Table 6 Colorful - Accent 6"/>
    <w:basedOn w:val="737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94" w:customStyle="1">
    <w:name w:val="Список-таблица 7 цветная1"/>
    <w:basedOn w:val="737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1"/>
    <w:basedOn w:val="737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2"/>
    <w:basedOn w:val="737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3"/>
    <w:basedOn w:val="737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4"/>
    <w:basedOn w:val="737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5"/>
    <w:basedOn w:val="737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6"/>
    <w:basedOn w:val="737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ned - Accent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902" w:customStyle="1">
    <w:name w:val="Lined - Accent 1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903" w:customStyle="1">
    <w:name w:val="Lined - Accent 2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904" w:customStyle="1">
    <w:name w:val="Lined - Accent 3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905" w:customStyle="1">
    <w:name w:val="Lined - Accent 4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906" w:customStyle="1">
    <w:name w:val="Lined - Accent 5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907" w:customStyle="1">
    <w:name w:val="Lined - Accent 6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908" w:customStyle="1">
    <w:name w:val="Bordered &amp; Lined - Accent"/>
    <w:basedOn w:val="737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909" w:customStyle="1">
    <w:name w:val="Bordered &amp; Lined - Accent 1"/>
    <w:basedOn w:val="737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910" w:customStyle="1">
    <w:name w:val="Bordered &amp; Lined - Accent 2"/>
    <w:basedOn w:val="737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911" w:customStyle="1">
    <w:name w:val="Bordered &amp; Lined - Accent 3"/>
    <w:basedOn w:val="737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912" w:customStyle="1">
    <w:name w:val="Bordered &amp; Lined - Accent 4"/>
    <w:basedOn w:val="737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913" w:customStyle="1">
    <w:name w:val="Bordered &amp; Lined - Accent 5"/>
    <w:basedOn w:val="737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914" w:customStyle="1">
    <w:name w:val="Bordered &amp; Lined - Accent 6"/>
    <w:basedOn w:val="737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915" w:customStyle="1">
    <w:name w:val="Bordered"/>
    <w:basedOn w:val="737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16" w:customStyle="1">
    <w:name w:val="Bordered - Accent 1"/>
    <w:basedOn w:val="737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17" w:customStyle="1">
    <w:name w:val="Bordered - Accent 2"/>
    <w:basedOn w:val="737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918" w:customStyle="1">
    <w:name w:val="Bordered - Accent 3"/>
    <w:basedOn w:val="737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919" w:customStyle="1">
    <w:name w:val="Bordered - Accent 4"/>
    <w:basedOn w:val="737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920" w:customStyle="1">
    <w:name w:val="Bordered - Accent 5"/>
    <w:basedOn w:val="737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921" w:customStyle="1">
    <w:name w:val="Bordered - Accent 6"/>
    <w:basedOn w:val="737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paragraph" w:styleId="922">
    <w:name w:val="footnote text"/>
    <w:basedOn w:val="726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uiPriority w:val="99"/>
    <w:unhideWhenUsed/>
    <w:rPr>
      <w:vertAlign w:val="superscript"/>
    </w:rPr>
  </w:style>
  <w:style w:type="paragraph" w:styleId="925">
    <w:name w:val="endnote text"/>
    <w:basedOn w:val="726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726"/>
    <w:next w:val="726"/>
    <w:uiPriority w:val="39"/>
    <w:unhideWhenUsed/>
    <w:pPr>
      <w:spacing w:after="57"/>
    </w:pPr>
  </w:style>
  <w:style w:type="paragraph" w:styleId="929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930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31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32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33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34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35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36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26"/>
    <w:next w:val="726"/>
    <w:uiPriority w:val="99"/>
    <w:unhideWhenUsed/>
  </w:style>
  <w:style w:type="paragraph" w:styleId="939">
    <w:name w:val="Header"/>
    <w:basedOn w:val="726"/>
    <w:link w:val="940"/>
    <w:uiPriority w:val="99"/>
    <w:pPr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"/>
    <w:basedOn w:val="736"/>
    <w:link w:val="939"/>
    <w:uiPriority w:val="99"/>
  </w:style>
  <w:style w:type="paragraph" w:styleId="941">
    <w:name w:val="Footer"/>
    <w:basedOn w:val="726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736"/>
    <w:link w:val="941"/>
  </w:style>
  <w:style w:type="paragraph" w:styleId="943" w:customStyle="1">
    <w:name w:val="ConsPlusNormal"/>
    <w:pPr>
      <w:widowControl w:val="off"/>
    </w:pPr>
    <w:rPr>
      <w:rFonts w:ascii="Arial" w:hAnsi="Arial" w:cs="Arial"/>
      <w:sz w:val="16"/>
      <w:szCs w:val="16"/>
    </w:rPr>
  </w:style>
  <w:style w:type="paragraph" w:styleId="944">
    <w:name w:val="Balloon Text"/>
    <w:basedOn w:val="726"/>
    <w:link w:val="945"/>
    <w:rPr>
      <w:rFonts w:ascii="Segoe UI" w:hAnsi="Segoe UI" w:cs="Segoe UI"/>
      <w:sz w:val="18"/>
      <w:szCs w:val="18"/>
    </w:rPr>
  </w:style>
  <w:style w:type="character" w:styleId="945" w:customStyle="1">
    <w:name w:val="Текст выноски Знак"/>
    <w:link w:val="944"/>
    <w:rPr>
      <w:rFonts w:ascii="Segoe UI" w:hAnsi="Segoe UI" w:cs="Segoe UI"/>
      <w:sz w:val="18"/>
      <w:szCs w:val="18"/>
    </w:rPr>
  </w:style>
  <w:style w:type="paragraph" w:styleId="946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</w:rPr>
  </w:style>
  <w:style w:type="character" w:styleId="947">
    <w:name w:val="Hyperlink"/>
    <w:uiPriority w:val="99"/>
    <w:unhideWhenUsed/>
    <w:rPr>
      <w:color w:val="0000ff"/>
      <w:u w:val="single"/>
    </w:rPr>
  </w:style>
  <w:style w:type="paragraph" w:styleId="948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color w:val="000000"/>
      <w:sz w:val="24"/>
      <w:szCs w:val="24"/>
      <w:lang w:eastAsia="en-US"/>
    </w:rPr>
  </w:style>
  <w:style w:type="paragraph" w:styleId="949">
    <w:name w:val="Normal (Web)"/>
    <w:basedOn w:val="72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50">
    <w:name w:val="annotation reference"/>
    <w:basedOn w:val="736"/>
    <w:uiPriority w:val="99"/>
    <w:semiHidden/>
    <w:unhideWhenUsed/>
    <w:rPr>
      <w:sz w:val="16"/>
      <w:szCs w:val="16"/>
    </w:rPr>
  </w:style>
  <w:style w:type="paragraph" w:styleId="951">
    <w:name w:val="annotation text"/>
    <w:basedOn w:val="726"/>
    <w:link w:val="952"/>
    <w:uiPriority w:val="99"/>
    <w:semiHidden/>
    <w:unhideWhenUsed/>
    <w:rPr>
      <w:sz w:val="20"/>
      <w:szCs w:val="20"/>
    </w:rPr>
  </w:style>
  <w:style w:type="character" w:styleId="952" w:customStyle="1">
    <w:name w:val="Текст примечания Знак"/>
    <w:basedOn w:val="736"/>
    <w:link w:val="951"/>
    <w:uiPriority w:val="99"/>
    <w:semiHidden/>
  </w:style>
  <w:style w:type="paragraph" w:styleId="953">
    <w:name w:val="annotation subject"/>
    <w:basedOn w:val="951"/>
    <w:next w:val="951"/>
    <w:link w:val="954"/>
    <w:uiPriority w:val="99"/>
    <w:semiHidden/>
    <w:unhideWhenUsed/>
    <w:rPr>
      <w:b/>
      <w:bCs/>
    </w:rPr>
  </w:style>
  <w:style w:type="character" w:styleId="954" w:customStyle="1">
    <w:name w:val="Тема примечания Знак"/>
    <w:basedOn w:val="952"/>
    <w:link w:val="953"/>
    <w:uiPriority w:val="99"/>
    <w:semiHidden/>
    <w:rPr>
      <w:b/>
      <w:bCs/>
    </w:rPr>
  </w:style>
  <w:style w:type="character" w:styleId="955" w:customStyle="1">
    <w:name w:val="Unresolved Mention"/>
    <w:basedOn w:val="736"/>
    <w:uiPriority w:val="99"/>
    <w:semiHidden/>
    <w:unhideWhenUsed/>
    <w:rPr>
      <w:color w:val="605e5c"/>
      <w:shd w:val="clear" w:color="auto" w:fill="e1dfdd"/>
    </w:rPr>
  </w:style>
  <w:style w:type="character" w:styleId="956" w:customStyle="1">
    <w:name w:val="Интернет-ссылка"/>
    <w:rPr>
      <w:color w:val="0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docs.cntd.ru/document/5654152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52A6-7BB9-4F29-AC46-A022D399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AdmHMAO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revision>15</cp:revision>
  <dcterms:created xsi:type="dcterms:W3CDTF">2025-06-04T07:14:00Z</dcterms:created>
  <dcterms:modified xsi:type="dcterms:W3CDTF">2025-10-02T03:49:45Z</dcterms:modified>
</cp:coreProperties>
</file>