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E4" w:rsidRDefault="00DC5A8D">
      <w:pPr>
        <w:ind w:right="4535"/>
        <w:jc w:val="both"/>
      </w:pPr>
      <w:r>
        <w:t>О внесении изменений в постановление администрации города от 31.07.2019 №611                   «</w:t>
      </w:r>
      <w:r>
        <w:t>О порядке определения объема                                     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значения»  (с изменениями от 18.06.20</w:t>
      </w:r>
      <w:r>
        <w:t>20 №537, 01.10.2020 №859, от 30.09.2022   №696)</w:t>
      </w:r>
    </w:p>
    <w:p w:rsidR="00C674E4" w:rsidRDefault="00C674E4">
      <w:pPr>
        <w:ind w:right="5103"/>
        <w:jc w:val="both"/>
        <w:rPr>
          <w:sz w:val="28"/>
          <w:szCs w:val="28"/>
        </w:rPr>
      </w:pPr>
    </w:p>
    <w:p w:rsidR="00C674E4" w:rsidRDefault="00C674E4">
      <w:pPr>
        <w:ind w:right="5103"/>
        <w:jc w:val="both"/>
        <w:rPr>
          <w:sz w:val="28"/>
          <w:szCs w:val="28"/>
        </w:rPr>
      </w:pPr>
    </w:p>
    <w:p w:rsidR="00C674E4" w:rsidRDefault="00DC5A8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муниципального правового акта в соответствие      </w:t>
      </w:r>
      <w:r w:rsidR="007D08F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с действующим законодательством, в связи со структурными изменениями                 в администрации города:</w:t>
      </w:r>
    </w:p>
    <w:p w:rsidR="00C674E4" w:rsidRDefault="00C674E4">
      <w:pPr>
        <w:ind w:right="-1"/>
        <w:jc w:val="both"/>
        <w:rPr>
          <w:sz w:val="28"/>
          <w:szCs w:val="28"/>
        </w:rPr>
      </w:pPr>
    </w:p>
    <w:p w:rsidR="00C674E4" w:rsidRDefault="00DC5A8D">
      <w:pPr>
        <w:ind w:right="-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1. Внести изменения </w:t>
      </w:r>
      <w:r>
        <w:rPr>
          <w:sz w:val="28"/>
          <w:szCs w:val="28"/>
        </w:rPr>
        <w:t xml:space="preserve">в </w:t>
      </w:r>
      <w:hyperlink r:id="rId7" w:tooltip="https://login.consultant.ru/link/?req=doc&amp;base=RLAW926&amp;n=211117&amp;date=22.10.2021" w:history="1">
        <w:r>
          <w:rPr>
            <w:rStyle w:val="af4"/>
            <w:rFonts w:eastAsia="Calibri"/>
            <w:color w:val="auto"/>
            <w:sz w:val="28"/>
            <w:szCs w:val="28"/>
            <w:u w:val="none"/>
          </w:rPr>
          <w:t>постановлени</w:t>
        </w:r>
      </w:hyperlink>
      <w:r>
        <w:rPr>
          <w:rStyle w:val="af4"/>
          <w:rFonts w:eastAsia="Calibri"/>
          <w:color w:val="auto"/>
          <w:sz w:val="28"/>
          <w:szCs w:val="28"/>
          <w:u w:val="none"/>
        </w:rPr>
        <w:t>е</w:t>
      </w:r>
      <w:r>
        <w:rPr>
          <w:sz w:val="28"/>
          <w:szCs w:val="28"/>
        </w:rPr>
        <w:t xml:space="preserve"> администрации города                                от 31.0</w:t>
      </w:r>
      <w:r>
        <w:rPr>
          <w:sz w:val="28"/>
          <w:szCs w:val="28"/>
        </w:rPr>
        <w:t>7.2019 №611 «О порядке определения объема и предоставления субсидий территориаль</w:t>
      </w:r>
      <w:r>
        <w:rPr>
          <w:sz w:val="28"/>
          <w:szCs w:val="28"/>
          <w:highlight w:val="white"/>
        </w:rPr>
        <w:t>ным общественным самоуправлениям города Нижневартовска на осуществление собственных инициатив по вопросам местного значения»</w:t>
      </w:r>
      <w:r w:rsidR="007D08F1">
        <w:rPr>
          <w:sz w:val="28"/>
          <w:szCs w:val="28"/>
          <w:highlight w:val="white"/>
        </w:rPr>
        <w:t xml:space="preserve">                                  </w:t>
      </w:r>
      <w:r>
        <w:rPr>
          <w:sz w:val="28"/>
          <w:szCs w:val="28"/>
          <w:highlight w:val="white"/>
        </w:rPr>
        <w:t xml:space="preserve"> (с изменениями от 18.06.2020 №537, 01.10.2020 №859,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>от 30.09.2022 №696</w:t>
      </w:r>
      <w:r>
        <w:rPr>
          <w:sz w:val="28"/>
          <w:szCs w:val="28"/>
          <w:highlight w:val="white"/>
        </w:rPr>
        <w:t>):</w:t>
      </w:r>
    </w:p>
    <w:p w:rsidR="00C674E4" w:rsidRDefault="00DC5A8D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Пункт 4 постановления изложить в </w:t>
      </w:r>
      <w:r>
        <w:rPr>
          <w:sz w:val="28"/>
          <w:highlight w:val="white"/>
        </w:rPr>
        <w:t>следующей</w:t>
      </w:r>
      <w:r>
        <w:rPr>
          <w:b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редакции:</w:t>
      </w:r>
    </w:p>
    <w:p w:rsidR="00C674E4" w:rsidRDefault="00DC5A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«4. Контроль за выполнением постановления возложить на директора департамента общественных коммуникаций и молодежной политики администрации города О.В. Котову.»</w:t>
      </w:r>
      <w:r>
        <w:rPr>
          <w:sz w:val="28"/>
          <w:szCs w:val="28"/>
          <w:highlight w:val="white"/>
        </w:rPr>
        <w:t>;</w:t>
      </w:r>
    </w:p>
    <w:p w:rsidR="00C674E4" w:rsidRDefault="00DC5A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 В приложении: </w:t>
      </w:r>
    </w:p>
    <w:p w:rsidR="00C674E4" w:rsidRDefault="00DC5A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разделе </w:t>
      </w:r>
      <w:r>
        <w:rPr>
          <w:sz w:val="28"/>
          <w:szCs w:val="28"/>
          <w:highlight w:val="white"/>
          <w:lang w:val="en-US"/>
        </w:rPr>
        <w:t>I</w:t>
      </w:r>
      <w:r>
        <w:rPr>
          <w:sz w:val="28"/>
          <w:szCs w:val="28"/>
          <w:highlight w:val="white"/>
        </w:rPr>
        <w:t>:</w:t>
      </w:r>
    </w:p>
    <w:p w:rsidR="00C674E4" w:rsidRDefault="00DC5A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пункт 1.2 изложить в следующей редакции:</w:t>
      </w:r>
    </w:p>
    <w:p w:rsidR="00C674E4" w:rsidRDefault="00DC5A8D">
      <w:pPr>
        <w:pStyle w:val="ConsPlusNormal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>«1.2. Предоставление субсидий ТОС осуществляется в пределах лимитов бюджетных обязательств, предусмотренных в бюджете города Нижневартовска на данные цели на соответствующий фина</w:t>
      </w:r>
      <w:r>
        <w:rPr>
          <w:sz w:val="28"/>
          <w:highlight w:val="white"/>
        </w:rPr>
        <w:t>нсовый год и на плановый период, доведенных до</w:t>
      </w:r>
      <w:r>
        <w:rPr>
          <w:color w:val="92D050"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администрации города, являющейся главным распорядителем и получателем средств бюджета города Нижневартовска.»;</w:t>
      </w:r>
    </w:p>
    <w:p w:rsidR="00C674E4" w:rsidRDefault="00DC5A8D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1.3 изложить в </w:t>
      </w:r>
      <w:r>
        <w:rPr>
          <w:sz w:val="28"/>
          <w:highlight w:val="white"/>
        </w:rPr>
        <w:t>следующей</w:t>
      </w:r>
      <w:r>
        <w:rPr>
          <w:sz w:val="28"/>
          <w:szCs w:val="28"/>
          <w:highlight w:val="white"/>
        </w:rPr>
        <w:t xml:space="preserve"> редакции:</w:t>
      </w:r>
    </w:p>
    <w:p w:rsidR="00C674E4" w:rsidRDefault="00DC5A8D">
      <w:pPr>
        <w:ind w:firstLine="540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>«</w:t>
      </w:r>
      <w:r>
        <w:rPr>
          <w:sz w:val="28"/>
          <w:highlight w:val="white"/>
        </w:rPr>
        <w:t>1.3. Сведения о субсидии размещаются на едином портале б</w:t>
      </w:r>
      <w:r>
        <w:rPr>
          <w:sz w:val="28"/>
          <w:highlight w:val="white"/>
        </w:rPr>
        <w:t>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о бюджете (решения о внесении изменений в решение о бюджете).»;</w:t>
      </w:r>
    </w:p>
    <w:p w:rsidR="00C674E4" w:rsidRDefault="00DC5A8D">
      <w:pPr>
        <w:pStyle w:val="ConsPlusNormal"/>
        <w:ind w:firstLine="54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абзац второй пункта 1.4. изложить </w:t>
      </w:r>
      <w:r>
        <w:rPr>
          <w:sz w:val="28"/>
          <w:highlight w:val="white"/>
        </w:rPr>
        <w:t>в следующей редакции:</w:t>
      </w:r>
    </w:p>
    <w:p w:rsidR="00C674E4" w:rsidRDefault="00DC5A8D">
      <w:pPr>
        <w:pStyle w:val="ConsPlusNormal"/>
        <w:ind w:firstLine="540"/>
        <w:jc w:val="both"/>
        <w:rPr>
          <w:sz w:val="28"/>
          <w:highlight w:val="white"/>
        </w:rPr>
      </w:pPr>
      <w:r>
        <w:rPr>
          <w:sz w:val="28"/>
          <w:highlight w:val="white"/>
        </w:rPr>
        <w:t>«- координационный совет по вопросам территориального общественного самоуправления в городе Нижневартовске - коллегиальный совещательный орган, осуществляющий свою деятельность в соответствии с распоряжением администрации города (дале</w:t>
      </w:r>
      <w:r>
        <w:rPr>
          <w:sz w:val="28"/>
          <w:highlight w:val="white"/>
        </w:rPr>
        <w:t>е - координационный совет)»;</w:t>
      </w:r>
    </w:p>
    <w:p w:rsidR="00C674E4" w:rsidRDefault="00DC5A8D"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пункт 1.7 </w:t>
      </w:r>
      <w:r>
        <w:rPr>
          <w:sz w:val="28"/>
          <w:szCs w:val="28"/>
          <w:highlight w:val="white"/>
        </w:rPr>
        <w:t xml:space="preserve">изложить в </w:t>
      </w:r>
      <w:r>
        <w:rPr>
          <w:sz w:val="28"/>
          <w:highlight w:val="white"/>
        </w:rPr>
        <w:t>следующей</w:t>
      </w:r>
      <w:r>
        <w:rPr>
          <w:b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редакции:</w:t>
      </w:r>
    </w:p>
    <w:p w:rsidR="00C674E4" w:rsidRDefault="00DC5A8D">
      <w:pPr>
        <w:ind w:firstLine="54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«1.7.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Результатом предоставления субсидии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является реализация получателем субсидии проекта в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срок, установленный проектом. </w:t>
      </w:r>
    </w:p>
    <w:p w:rsidR="00C674E4" w:rsidRDefault="00DC5A8D">
      <w:pPr>
        <w:pStyle w:val="af6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lastRenderedPageBreak/>
        <w:t>Показателями, необходимыми для достижения результата предоставления субсидии являются:</w:t>
      </w:r>
    </w:p>
    <w:p w:rsidR="00C674E4" w:rsidRDefault="00DC5A8D">
      <w:pPr>
        <w:pStyle w:val="af6"/>
        <w:ind w:firstLine="709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>- количество мероприятий в рамках реализации проекта;</w:t>
      </w:r>
    </w:p>
    <w:p w:rsidR="00C674E4" w:rsidRDefault="00DC5A8D"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количество посетителей, участников мероприятий, направленных на реализацию проекта.»;</w:t>
      </w:r>
    </w:p>
    <w:p w:rsidR="00C674E4" w:rsidRDefault="00DC5A8D"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пункт 1.8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C674E4" w:rsidRDefault="00DC5A8D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«1.8. </w:t>
      </w:r>
      <w:r>
        <w:rPr>
          <w:sz w:val="28"/>
          <w:highlight w:val="white"/>
        </w:rPr>
        <w:t>Отбор получателей субсидий осуществляется департаментом общественных коммуникаций и молодежной политики (далее – Департамент) посредством проведения Конкурса.»;</w:t>
      </w:r>
    </w:p>
    <w:p w:rsidR="00C674E4" w:rsidRDefault="00DC5A8D">
      <w:pPr>
        <w:ind w:firstLine="709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- в разделе </w:t>
      </w:r>
      <w:r>
        <w:rPr>
          <w:sz w:val="28"/>
          <w:highlight w:val="white"/>
          <w:lang w:val="en-US"/>
        </w:rPr>
        <w:t>II</w:t>
      </w:r>
      <w:r>
        <w:rPr>
          <w:sz w:val="28"/>
          <w:highlight w:val="white"/>
        </w:rPr>
        <w:t>:</w:t>
      </w:r>
    </w:p>
    <w:p w:rsidR="00C674E4" w:rsidRDefault="00DC5A8D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абзац шестой пункта 2.5 изложить в следую</w:t>
      </w:r>
      <w:r>
        <w:rPr>
          <w:sz w:val="28"/>
          <w:szCs w:val="28"/>
          <w:highlight w:val="white"/>
        </w:rPr>
        <w:t>щей редакции:</w:t>
      </w:r>
    </w:p>
    <w:p w:rsidR="00C674E4" w:rsidRDefault="00DC5A8D">
      <w:pPr>
        <w:ind w:firstLine="540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 xml:space="preserve">«- не </w:t>
      </w:r>
      <w:r>
        <w:rPr>
          <w:sz w:val="28"/>
          <w:highlight w:val="white"/>
        </w:rPr>
        <w:t xml:space="preserve">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>
        <w:rPr>
          <w:sz w:val="28"/>
          <w:highlight w:val="white"/>
        </w:rPr>
        <w:t>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</w:t>
      </w:r>
      <w:r>
        <w:rPr>
          <w:sz w:val="28"/>
          <w:highlight w:val="white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 </w:t>
      </w:r>
      <w:r>
        <w:rPr>
          <w:sz w:val="28"/>
          <w:highlight w:val="white"/>
        </w:rPr>
        <w:t xml:space="preserve">  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</w:t>
      </w:r>
      <w:r>
        <w:rPr>
          <w:sz w:val="28"/>
          <w:highlight w:val="white"/>
        </w:rPr>
        <w:t>их юридических лиц, реализованное через участие в капитале указанных публичных акционерных обществ.»;</w:t>
      </w:r>
    </w:p>
    <w:p w:rsidR="00C674E4" w:rsidRDefault="00DC5A8D">
      <w:pPr>
        <w:ind w:firstLine="540"/>
        <w:jc w:val="both"/>
        <w:rPr>
          <w:sz w:val="28"/>
          <w:highlight w:val="white"/>
        </w:rPr>
      </w:pPr>
      <w:r>
        <w:rPr>
          <w:sz w:val="28"/>
          <w:highlight w:val="white"/>
        </w:rPr>
        <w:t>абзац первый пункта 2.6 после слова «заявку» дополнить словами                          «, информацию о проекте»;</w:t>
      </w:r>
    </w:p>
    <w:p w:rsidR="00C674E4" w:rsidRDefault="00DC5A8D">
      <w:pPr>
        <w:ind w:firstLine="54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пункт 2.24 изложить в следующей редакции</w:t>
      </w:r>
      <w:r>
        <w:rPr>
          <w:sz w:val="28"/>
          <w:szCs w:val="28"/>
          <w:highlight w:val="white"/>
        </w:rPr>
        <w:t>:</w:t>
      </w:r>
    </w:p>
    <w:p w:rsidR="00C674E4" w:rsidRDefault="00DC5A8D">
      <w:pPr>
        <w:ind w:firstLine="54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«2.24. Департамент в течение 3 рабочих дней с даты получения протокола заседания координационного совета издает приказ об итогах конкурса                  (далее – Приказ).»;</w:t>
      </w:r>
    </w:p>
    <w:p w:rsidR="00C674E4" w:rsidRDefault="00DC5A8D">
      <w:pPr>
        <w:ind w:firstLine="54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пункт 2.26 изложить в следующей редакции:</w:t>
      </w:r>
    </w:p>
    <w:p w:rsidR="00C674E4" w:rsidRDefault="00DC5A8D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«2.26. В течение 10 рабочих дней со д</w:t>
      </w:r>
      <w:r>
        <w:rPr>
          <w:sz w:val="28"/>
          <w:szCs w:val="28"/>
          <w:highlight w:val="white"/>
        </w:rPr>
        <w:t>ня издания Приказа Департамент направляет его копию:</w:t>
      </w:r>
    </w:p>
    <w:p w:rsidR="00C674E4" w:rsidRDefault="00DC5A8D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управление бухгалтерского учета и отчетности администрации города;</w:t>
      </w:r>
    </w:p>
    <w:p w:rsidR="00C674E4" w:rsidRDefault="00DC5A8D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управление муниципальных закупок администрации города (далее - Управление) с приложением следующих документов:</w:t>
      </w:r>
    </w:p>
    <w:p w:rsidR="00C674E4" w:rsidRDefault="00DC5A8D">
      <w:pPr>
        <w:pStyle w:val="ConsPlusNormal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копии протокола з</w:t>
      </w:r>
      <w:r>
        <w:rPr>
          <w:sz w:val="28"/>
          <w:highlight w:val="white"/>
        </w:rPr>
        <w:t>аседания координационного совета;</w:t>
      </w:r>
    </w:p>
    <w:p w:rsidR="00C674E4" w:rsidRDefault="00DC5A8D">
      <w:pPr>
        <w:pStyle w:val="ConsPlusNormal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информации о расчетных или корреспондентских счетах, открытых получателем субсидии в учреждениях Центрального банка Российской Федерации или кредитных организациях;</w:t>
      </w:r>
    </w:p>
    <w:p w:rsidR="00C674E4" w:rsidRDefault="00DC5A8D">
      <w:pPr>
        <w:pStyle w:val="ConsPlusNormal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перечня направления расходов, источником финансового обес</w:t>
      </w:r>
      <w:r>
        <w:rPr>
          <w:sz w:val="28"/>
          <w:highlight w:val="white"/>
        </w:rPr>
        <w:t xml:space="preserve">печения которых является субсидия; </w:t>
      </w:r>
    </w:p>
    <w:p w:rsidR="00C674E4" w:rsidRDefault="00DC5A8D">
      <w:pPr>
        <w:pStyle w:val="ConsPlusNormal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информации о сроках и формах представления отчетности  (с приложением форм отчетности);</w:t>
      </w:r>
    </w:p>
    <w:p w:rsidR="00C674E4" w:rsidRDefault="00DC5A8D">
      <w:pPr>
        <w:pStyle w:val="ConsPlusNormal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информации о показателях и их значениях</w:t>
      </w:r>
      <w:r>
        <w:rPr>
          <w:sz w:val="28"/>
          <w:szCs w:val="28"/>
          <w:highlight w:val="white"/>
        </w:rPr>
        <w:t>, необходимых для достижения результата предоставления субсидии</w:t>
      </w:r>
      <w:r>
        <w:rPr>
          <w:sz w:val="28"/>
          <w:highlight w:val="white"/>
        </w:rPr>
        <w:t>»;</w:t>
      </w:r>
    </w:p>
    <w:p w:rsidR="00C674E4" w:rsidRDefault="00DC5A8D">
      <w:pPr>
        <w:ind w:firstLine="54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пункт 2.29 изложить в следу</w:t>
      </w:r>
      <w:r>
        <w:rPr>
          <w:sz w:val="28"/>
          <w:szCs w:val="28"/>
          <w:highlight w:val="white"/>
        </w:rPr>
        <w:t>ющей редакции:</w:t>
      </w:r>
    </w:p>
    <w:p w:rsidR="00C674E4" w:rsidRDefault="00DC5A8D">
      <w:pPr>
        <w:ind w:firstLine="540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>«2.29.</w:t>
      </w:r>
      <w:r>
        <w:rPr>
          <w:sz w:val="28"/>
          <w:highlight w:val="white"/>
        </w:rPr>
        <w:t xml:space="preserve"> Дополнительное соглашение к Соглашению заключается в случае: </w:t>
      </w:r>
    </w:p>
    <w:p w:rsidR="00C674E4" w:rsidRDefault="00DC5A8D">
      <w:pPr>
        <w:ind w:firstLine="709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>- необходимости перераспределения средств между утвержденными н</w:t>
      </w:r>
      <w:r>
        <w:rPr>
          <w:sz w:val="28"/>
          <w:highlight w:val="white"/>
        </w:rPr>
        <w:t>аправлениями расходов, источником финансового обеспечения которых является субсидия;</w:t>
      </w:r>
    </w:p>
    <w:p w:rsidR="00C674E4" w:rsidRDefault="00DC5A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необходимости продления сроков реализации проекта в случае, если                        в связи с действием режима повышенной готовности реализация проекта является невозможной в сроки, указанные в Соглашении;</w:t>
      </w:r>
    </w:p>
    <w:p w:rsidR="00C674E4" w:rsidRDefault="00DC5A8D">
      <w:pPr>
        <w:pStyle w:val="ConsPlusNormal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смены реквизитов сторон Соглашения, в том </w:t>
      </w:r>
      <w:r>
        <w:rPr>
          <w:sz w:val="28"/>
          <w:szCs w:val="28"/>
          <w:highlight w:val="white"/>
        </w:rPr>
        <w:t>числе в случае внесения изменений в наименование получателя субсидии;</w:t>
      </w:r>
    </w:p>
    <w:p w:rsidR="00C674E4" w:rsidRDefault="00DC5A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изменения ответственного лица Департамента;</w:t>
      </w:r>
    </w:p>
    <w:p w:rsidR="00C674E4" w:rsidRDefault="00DC5A8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необходимости изменения размера субсидии в результате                     обнаружения счетной ошибки;</w:t>
      </w:r>
    </w:p>
    <w:p w:rsidR="00C674E4" w:rsidRDefault="00DC5A8D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технической ошибки;</w:t>
      </w:r>
    </w:p>
    <w:p w:rsidR="00C674E4" w:rsidRDefault="00DC5A8D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возврата неи</w:t>
      </w:r>
      <w:r>
        <w:rPr>
          <w:sz w:val="28"/>
          <w:szCs w:val="28"/>
          <w:highlight w:val="white"/>
        </w:rPr>
        <w:t>спользованной части субсидии;</w:t>
      </w:r>
    </w:p>
    <w:p w:rsidR="00C674E4" w:rsidRDefault="00DC5A8D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уменьшения главному распорядителю как получателю бюджетных средств ранее доведенных лимитов бюджетных обязательств, указанных                        в </w:t>
      </w:r>
      <w:hyperlink r:id="rId8" w:tooltip="https://login.consultant.ru/link/?req=doc&amp;base=RLAW926&amp;n=271502&amp;dst=100055&amp;field=134&amp;date=02.03.2023" w:history="1">
        <w:r>
          <w:rPr>
            <w:rStyle w:val="af4"/>
            <w:rFonts w:eastAsia="Arial"/>
            <w:color w:val="auto"/>
            <w:sz w:val="28"/>
            <w:szCs w:val="28"/>
            <w:highlight w:val="white"/>
            <w:u w:val="none"/>
          </w:rPr>
          <w:t>пункте 1.</w:t>
        </w:r>
      </w:hyperlink>
      <w:r>
        <w:rPr>
          <w:rStyle w:val="af4"/>
          <w:rFonts w:eastAsia="Arial"/>
          <w:color w:val="auto"/>
          <w:sz w:val="28"/>
          <w:szCs w:val="28"/>
          <w:highlight w:val="white"/>
          <w:u w:val="none"/>
        </w:rPr>
        <w:t>2</w:t>
      </w:r>
      <w:r>
        <w:rPr>
          <w:sz w:val="28"/>
          <w:szCs w:val="28"/>
          <w:highlight w:val="white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:rsidR="00C674E4" w:rsidRDefault="00DC5A8D"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Дополнительное соглашение о расторжении Соглашения заключается                    в случае: </w:t>
      </w:r>
    </w:p>
    <w:p w:rsidR="00C674E4" w:rsidRDefault="00DC5A8D">
      <w:pPr>
        <w:pStyle w:val="af8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возврата неиспользованной субсидии;</w:t>
      </w:r>
    </w:p>
    <w:p w:rsidR="00C674E4" w:rsidRDefault="00DC5A8D">
      <w:pPr>
        <w:ind w:firstLine="540"/>
        <w:jc w:val="both"/>
        <w:rPr>
          <w:highlight w:val="white"/>
        </w:rPr>
      </w:pPr>
      <w:r>
        <w:rPr>
          <w:sz w:val="28"/>
          <w:szCs w:val="28"/>
          <w:highlight w:val="white"/>
        </w:rPr>
        <w:t>- уменьшения главному рас</w:t>
      </w:r>
      <w:r>
        <w:rPr>
          <w:sz w:val="28"/>
          <w:szCs w:val="28"/>
          <w:highlight w:val="white"/>
        </w:rPr>
        <w:t xml:space="preserve">порядителю как получателю бюджетных средств ранее доведенных лимитов бюджетных обязательств, указанных                        в </w:t>
      </w:r>
      <w:hyperlink r:id="rId9" w:tooltip="https://login.consultant.ru/link/?req=doc&amp;base=RLAW926&amp;n=271502&amp;dst=100055&amp;field=134&amp;date=02.03.2023" w:history="1">
        <w:r>
          <w:rPr>
            <w:rStyle w:val="af4"/>
            <w:rFonts w:eastAsia="Arial"/>
            <w:color w:val="auto"/>
            <w:sz w:val="28"/>
            <w:szCs w:val="28"/>
            <w:highlight w:val="white"/>
            <w:u w:val="none"/>
          </w:rPr>
          <w:t>пункте 1.</w:t>
        </w:r>
      </w:hyperlink>
      <w:r>
        <w:rPr>
          <w:rStyle w:val="af4"/>
          <w:rFonts w:eastAsia="Arial"/>
          <w:color w:val="auto"/>
          <w:sz w:val="28"/>
          <w:szCs w:val="28"/>
          <w:highlight w:val="white"/>
          <w:u w:val="none"/>
        </w:rPr>
        <w:t>2</w:t>
      </w:r>
      <w:r>
        <w:rPr>
          <w:sz w:val="28"/>
          <w:szCs w:val="28"/>
          <w:highlight w:val="white"/>
        </w:rPr>
        <w:t xml:space="preserve"> Порядка, приводящего к невозможности предоставления субсидии в размере, определенном в Соглашении, и недостижения согласия по новым условиям</w:t>
      </w:r>
      <w:r>
        <w:rPr>
          <w:highlight w:val="white"/>
        </w:rPr>
        <w:t xml:space="preserve">.»; </w:t>
      </w:r>
    </w:p>
    <w:p w:rsidR="00C674E4" w:rsidRDefault="00DC5A8D">
      <w:pPr>
        <w:ind w:firstLine="540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пункт</w:t>
      </w:r>
      <w:r>
        <w:rPr>
          <w:sz w:val="28"/>
          <w:szCs w:val="28"/>
          <w:highlight w:val="white"/>
        </w:rPr>
        <w:t xml:space="preserve"> 2.30 изложить в следующей редакции:</w:t>
      </w:r>
    </w:p>
    <w:p w:rsidR="00C674E4" w:rsidRDefault="00DC5A8D">
      <w:pPr>
        <w:pStyle w:val="ConsPlus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«2.30. Управление муниципальных закупок администрации города: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на основании документов, представленных Департаментом                                    в соответствии с пунктом 2.26 Порядка, в течение 10 рабочих дней с</w:t>
      </w:r>
      <w:r>
        <w:rPr>
          <w:rFonts w:ascii="Times New Roman" w:hAnsi="Times New Roman"/>
          <w:sz w:val="28"/>
          <w:szCs w:val="28"/>
          <w:highlight w:val="white"/>
        </w:rPr>
        <w:t>о дня                       их получения готовит Соглашения и организует их подписание уполномоченным лицом администрации города и получателями субсидии;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день подписания Соглашения регистрирует и направляет Соглашение в управление бухгалтерского учета </w:t>
      </w:r>
      <w:r>
        <w:rPr>
          <w:rFonts w:ascii="Times New Roman" w:hAnsi="Times New Roman"/>
          <w:sz w:val="28"/>
          <w:szCs w:val="28"/>
          <w:highlight w:val="white"/>
        </w:rPr>
        <w:t>и отчетности администрации города                      и Департамент в системе электронного документооборота администрации города.»;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пункт 2.31 изложить в следующей редакции: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«2.31. Департамент уведомляет получателей субсидий путем направления уведомления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на адрес электронной почты получателя субсидии  о дате подписания Соглашения. В случае неявки получателя субсидии для подписания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Соглашения в срок, указанный в уведомлении, он считается уклонившимся от заключения Соглашения.»;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2.32 изложить в </w:t>
      </w:r>
      <w:r>
        <w:rPr>
          <w:rFonts w:ascii="Times New Roman" w:hAnsi="Times New Roman"/>
          <w:sz w:val="28"/>
          <w:highlight w:val="white"/>
        </w:rPr>
        <w:t>следующ</w:t>
      </w:r>
      <w:r>
        <w:rPr>
          <w:rFonts w:ascii="Times New Roman" w:hAnsi="Times New Roman"/>
          <w:sz w:val="28"/>
          <w:highlight w:val="white"/>
        </w:rPr>
        <w:t>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«2.32. Управление бухгалтерского учета и отчетности администрации города в течение 3 рабочих дней со дня подписания Соглашения                                          в соответствии с заключенным Соглашением готовит и направляет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в департамент финансов администрации города платежные документы для перечисления субсидии получателю субсидии.»;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пункт 2.33 изложить в </w:t>
      </w:r>
      <w:r>
        <w:rPr>
          <w:rFonts w:ascii="Times New Roman" w:hAnsi="Times New Roman"/>
          <w:sz w:val="28"/>
          <w:highlight w:val="white"/>
        </w:rPr>
        <w:t>следующей</w:t>
      </w:r>
      <w:r>
        <w:rPr>
          <w:rFonts w:ascii="Times New Roman" w:hAnsi="Times New Roman"/>
          <w:sz w:val="28"/>
          <w:szCs w:val="28"/>
          <w:highlight w:val="white"/>
        </w:rPr>
        <w:t xml:space="preserve"> редакции: 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«2.33. Субсидия перечисляется на расчетный счет, открытый п</w:t>
      </w:r>
      <w:r>
        <w:rPr>
          <w:rFonts w:ascii="Times New Roman" w:hAnsi="Times New Roman"/>
          <w:sz w:val="28"/>
          <w:szCs w:val="28"/>
          <w:highlight w:val="white"/>
        </w:rPr>
        <w:t>олучателем субсидии в учреждениях Центрального банка Российской Федерации или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кредитной организации, и указанный в Соглашении, в течение 10 рабочих дней с даты подписания Соглашения сторонами.»;</w:t>
      </w:r>
    </w:p>
    <w:p w:rsidR="00C674E4" w:rsidRDefault="00DC5A8D">
      <w:pPr>
        <w:pStyle w:val="af8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в разделе </w:t>
      </w:r>
      <w:r>
        <w:rPr>
          <w:rFonts w:ascii="Times New Roman" w:hAnsi="Times New Roman"/>
          <w:sz w:val="28"/>
          <w:highlight w:val="white"/>
          <w:lang w:val="en-US"/>
        </w:rPr>
        <w:t>III</w:t>
      </w:r>
      <w:r>
        <w:rPr>
          <w:rFonts w:ascii="Times New Roman" w:hAnsi="Times New Roman"/>
          <w:sz w:val="28"/>
          <w:highlight w:val="white"/>
        </w:rPr>
        <w:t>:</w:t>
      </w:r>
    </w:p>
    <w:p w:rsidR="00C674E4" w:rsidRDefault="00DC5A8D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3.2 изложить в </w:t>
      </w:r>
      <w:r>
        <w:rPr>
          <w:sz w:val="28"/>
          <w:highlight w:val="white"/>
        </w:rPr>
        <w:t>следующей</w:t>
      </w:r>
      <w:r>
        <w:rPr>
          <w:sz w:val="28"/>
          <w:szCs w:val="28"/>
          <w:highlight w:val="white"/>
        </w:rPr>
        <w:t xml:space="preserve"> редакции:</w:t>
      </w:r>
    </w:p>
    <w:p w:rsidR="00C674E4" w:rsidRDefault="00DC5A8D">
      <w:pPr>
        <w:ind w:firstLine="708"/>
        <w:contextualSpacing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«3.</w:t>
      </w:r>
      <w:r>
        <w:rPr>
          <w:sz w:val="28"/>
          <w:szCs w:val="28"/>
          <w:highlight w:val="white"/>
        </w:rPr>
        <w:t>2. Контроль за представлением отчета о достижении значений результатов предоставления субсидии и его анализ, финансового отчета, осуществляет Департамент.</w:t>
      </w:r>
    </w:p>
    <w:p w:rsidR="00C674E4" w:rsidRDefault="00DC5A8D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 не позднее 20 января года, следующего за отчетным, уведомляет управление бухгалтерского у</w:t>
      </w:r>
      <w:r>
        <w:rPr>
          <w:sz w:val="28"/>
          <w:szCs w:val="28"/>
          <w:highlight w:val="white"/>
        </w:rPr>
        <w:t>чета и отчетности администрации города о проверке специалистами Департамента отчетов с приложением копий отчетов.»;</w:t>
      </w:r>
    </w:p>
    <w:p w:rsidR="00C674E4" w:rsidRDefault="00DC5A8D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пункт 3.3 признать утратившим силу.</w:t>
      </w:r>
    </w:p>
    <w:p w:rsidR="00C674E4" w:rsidRDefault="00DC5A8D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приложение 1 к порядку определения объема и предоставления субсидий территориальным общественным самоу</w:t>
      </w:r>
      <w:r>
        <w:rPr>
          <w:sz w:val="28"/>
          <w:szCs w:val="28"/>
          <w:highlight w:val="white"/>
        </w:rPr>
        <w:t>правлениям города Нижневартовска на осуществление собственных инициатив по вопросам местного значения изложить в новой редакции согласно приложению 1;</w:t>
      </w:r>
    </w:p>
    <w:p w:rsidR="00C674E4" w:rsidRDefault="00DC5A8D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приложение 3 к порядку определения объема и предоставления субсидий территориальным общественным самоуп</w:t>
      </w:r>
      <w:r>
        <w:rPr>
          <w:sz w:val="28"/>
          <w:szCs w:val="28"/>
          <w:highlight w:val="white"/>
        </w:rPr>
        <w:t>равлениям города Нижневартовска на осуществление собственных инициатив по вопросам местного значения изложить в новой редакции согласно приложению 2.</w:t>
      </w:r>
    </w:p>
    <w:p w:rsidR="00C674E4" w:rsidRDefault="00C674E4">
      <w:pPr>
        <w:ind w:firstLine="708"/>
        <w:jc w:val="both"/>
        <w:rPr>
          <w:sz w:val="28"/>
          <w:szCs w:val="28"/>
          <w:highlight w:val="white"/>
        </w:rPr>
      </w:pPr>
    </w:p>
    <w:p w:rsidR="00C674E4" w:rsidRDefault="00DC5A8D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>2. Департаменту общественных коммуникаций и молодежной политики администрации города (О.В. Котова) обеспе</w:t>
      </w:r>
      <w:r>
        <w:rPr>
          <w:sz w:val="28"/>
          <w:highlight w:val="white"/>
        </w:rPr>
        <w:t>чить официальное опубликование постановления.</w:t>
      </w:r>
    </w:p>
    <w:p w:rsidR="00C674E4" w:rsidRDefault="00C674E4">
      <w:pPr>
        <w:ind w:firstLine="709"/>
        <w:jc w:val="both"/>
        <w:rPr>
          <w:sz w:val="28"/>
          <w:highlight w:val="white"/>
        </w:rPr>
      </w:pPr>
    </w:p>
    <w:p w:rsidR="00C674E4" w:rsidRDefault="00DC5A8D">
      <w:pPr>
        <w:ind w:firstLine="708"/>
        <w:jc w:val="both"/>
        <w:rPr>
          <w:highlight w:val="white"/>
        </w:rPr>
      </w:pPr>
      <w:r>
        <w:rPr>
          <w:sz w:val="28"/>
          <w:highlight w:val="white"/>
        </w:rPr>
        <w:t xml:space="preserve">3. Постановление вступает в силу после его официального опубликования. </w:t>
      </w:r>
    </w:p>
    <w:p w:rsidR="00C674E4" w:rsidRDefault="00C674E4">
      <w:pPr>
        <w:jc w:val="both"/>
        <w:rPr>
          <w:sz w:val="28"/>
          <w:highlight w:val="white"/>
        </w:rPr>
      </w:pPr>
    </w:p>
    <w:p w:rsidR="00C674E4" w:rsidRDefault="00C674E4">
      <w:pPr>
        <w:jc w:val="both"/>
        <w:rPr>
          <w:sz w:val="28"/>
          <w:highlight w:val="white"/>
        </w:rPr>
      </w:pPr>
    </w:p>
    <w:p w:rsidR="00C674E4" w:rsidRDefault="00DC5A8D">
      <w:pPr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Глава города                                                                                          Д.А. Кощенко</w:t>
      </w:r>
    </w:p>
    <w:p w:rsidR="00C674E4" w:rsidRDefault="00C674E4">
      <w:pPr>
        <w:ind w:left="5387"/>
        <w:jc w:val="both"/>
        <w:rPr>
          <w:sz w:val="28"/>
          <w:szCs w:val="28"/>
        </w:rPr>
      </w:pPr>
    </w:p>
    <w:p w:rsidR="00C674E4" w:rsidRDefault="00C674E4">
      <w:pPr>
        <w:ind w:left="5387"/>
        <w:jc w:val="both"/>
        <w:rPr>
          <w:sz w:val="28"/>
          <w:szCs w:val="28"/>
        </w:rPr>
      </w:pPr>
    </w:p>
    <w:p w:rsidR="00C674E4" w:rsidRDefault="00DC5A8D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674E4" w:rsidRDefault="00DC5A8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  <w:r>
        <w:rPr>
          <w:sz w:val="28"/>
          <w:szCs w:val="28"/>
        </w:rPr>
        <w:t>к  постановлению</w:t>
      </w:r>
    </w:p>
    <w:p w:rsidR="00C674E4" w:rsidRDefault="00DC5A8D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 ________ №________</w:t>
      </w:r>
    </w:p>
    <w:p w:rsidR="00C674E4" w:rsidRDefault="00C674E4">
      <w:pPr>
        <w:ind w:left="5387"/>
        <w:jc w:val="both"/>
        <w:rPr>
          <w:sz w:val="28"/>
          <w:szCs w:val="28"/>
        </w:rPr>
      </w:pPr>
    </w:p>
    <w:p w:rsidR="00C674E4" w:rsidRDefault="00C674E4">
      <w:pPr>
        <w:ind w:left="5387"/>
        <w:jc w:val="both"/>
        <w:rPr>
          <w:sz w:val="28"/>
          <w:szCs w:val="28"/>
        </w:rPr>
      </w:pPr>
    </w:p>
    <w:p w:rsidR="00C674E4" w:rsidRDefault="00DC5A8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C674E4" w:rsidRDefault="00DC5A8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 порядку определения объема   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</w:r>
    </w:p>
    <w:p w:rsidR="00C674E4" w:rsidRDefault="00C674E4"/>
    <w:p w:rsidR="00C674E4" w:rsidRDefault="00C674E4"/>
    <w:p w:rsidR="00C674E4" w:rsidRDefault="00DC5A8D">
      <w:pPr>
        <w:pStyle w:val="26"/>
        <w:shd w:val="clear" w:color="auto" w:fill="auto"/>
        <w:spacing w:before="0" w:after="0" w:line="320" w:lineRule="exact"/>
        <w:ind w:left="80"/>
        <w:jc w:val="center"/>
      </w:pPr>
      <w:r>
        <w:t>Заявка</w:t>
      </w:r>
    </w:p>
    <w:p w:rsidR="00C674E4" w:rsidRDefault="00DC5A8D">
      <w:pPr>
        <w:pStyle w:val="26"/>
        <w:shd w:val="clear" w:color="auto" w:fill="auto"/>
        <w:spacing w:before="0" w:after="0" w:line="320" w:lineRule="exact"/>
        <w:ind w:left="80"/>
        <w:jc w:val="center"/>
      </w:pPr>
      <w:r>
        <w:t>на предоставление субсидии</w:t>
      </w:r>
    </w:p>
    <w:p w:rsidR="00C674E4" w:rsidRDefault="00C674E4">
      <w:pPr>
        <w:pStyle w:val="26"/>
        <w:shd w:val="clear" w:color="auto" w:fill="auto"/>
        <w:spacing w:before="0" w:after="0" w:line="320" w:lineRule="exact"/>
        <w:ind w:left="80"/>
        <w:jc w:val="center"/>
      </w:pPr>
    </w:p>
    <w:tbl>
      <w:tblPr>
        <w:tblStyle w:val="afb"/>
        <w:tblW w:w="0" w:type="auto"/>
        <w:tblInd w:w="80" w:type="dxa"/>
        <w:tblLook w:val="04A0" w:firstRow="1" w:lastRow="0" w:firstColumn="1" w:lastColumn="0" w:noHBand="0" w:noVBand="1"/>
      </w:tblPr>
      <w:tblGrid>
        <w:gridCol w:w="9413"/>
      </w:tblGrid>
      <w:tr w:rsidR="00C674E4">
        <w:trPr>
          <w:trHeight w:val="679"/>
        </w:trPr>
        <w:tc>
          <w:tcPr>
            <w:tcW w:w="9413" w:type="dxa"/>
          </w:tcPr>
          <w:p w:rsidR="00C674E4" w:rsidRDefault="00C674E4">
            <w:pPr>
              <w:pStyle w:val="26"/>
              <w:shd w:val="clear" w:color="auto" w:fill="auto"/>
              <w:spacing w:before="0" w:after="0" w:line="320" w:lineRule="exact"/>
              <w:jc w:val="center"/>
            </w:pPr>
          </w:p>
        </w:tc>
      </w:tr>
    </w:tbl>
    <w:p w:rsidR="00C674E4" w:rsidRDefault="00DC5A8D">
      <w:pPr>
        <w:pStyle w:val="afa"/>
        <w:shd w:val="clear" w:color="auto" w:fill="auto"/>
        <w:spacing w:line="240" w:lineRule="exact"/>
        <w:jc w:val="center"/>
        <w:rPr>
          <w:highlight w:val="yellow"/>
        </w:rPr>
      </w:pPr>
      <w:r>
        <w:t>(полное наименование ТОС)</w:t>
      </w:r>
    </w:p>
    <w:p w:rsidR="00C674E4" w:rsidRDefault="00C674E4">
      <w:pPr>
        <w:pStyle w:val="afa"/>
        <w:shd w:val="clear" w:color="auto" w:fill="auto"/>
        <w:spacing w:line="240" w:lineRule="exact"/>
        <w:jc w:val="center"/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672"/>
        <w:gridCol w:w="4821"/>
      </w:tblGrid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Сокращенное наименование ТОС 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(при создании до 1 июля 2002 года)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общероссийскому классификатору продукции (ОКПО)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Код(ы) по общероссийскому классификатору</w:t>
            </w:r>
          </w:p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внешнеэкономической деятельности (ОКВЭД)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расчетного счета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Банковский идентификационный </w:t>
            </w:r>
            <w:r>
              <w:rPr>
                <w:sz w:val="28"/>
                <w:szCs w:val="28"/>
              </w:rPr>
              <w:lastRenderedPageBreak/>
              <w:t>код (БИК)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в сети Интернет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Страницы в социальных сетях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руководителя, контактный телефон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добровольцев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учредителей (участников, членов)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денежных средств, полученных ТОС в предыдущем году, из них: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взносы учредителей (участников, членов)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гранты и пожертвования юридических лиц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пожертвования физических лиц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  <w:vAlign w:val="center"/>
          </w:tcPr>
          <w:p w:rsidR="00C674E4" w:rsidRDefault="00DC5A8D">
            <w:pPr>
              <w:pStyle w:val="afa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</w:t>
            </w:r>
          </w:p>
        </w:tc>
        <w:tc>
          <w:tcPr>
            <w:tcW w:w="4821" w:type="dxa"/>
          </w:tcPr>
          <w:p w:rsidR="00C674E4" w:rsidRDefault="00C674E4">
            <w:pPr>
              <w:pStyle w:val="afa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674E4" w:rsidRDefault="00DC5A8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</w:t>
      </w:r>
    </w:p>
    <w:p w:rsidR="00C674E4" w:rsidRDefault="00C674E4">
      <w:pPr>
        <w:tabs>
          <w:tab w:val="left" w:pos="993"/>
        </w:tabs>
        <w:ind w:firstLine="708"/>
        <w:jc w:val="both"/>
        <w:rPr>
          <w:bCs/>
          <w:color w:val="0070C0"/>
          <w:sz w:val="28"/>
          <w:szCs w:val="28"/>
        </w:rPr>
      </w:pPr>
    </w:p>
    <w:p w:rsidR="00E71757" w:rsidRDefault="00DC5A8D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E71757" w:rsidRDefault="00E71757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C674E4" w:rsidRDefault="00DC5A8D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Информация о проекте</w:t>
      </w:r>
    </w:p>
    <w:p w:rsidR="00C674E4" w:rsidRDefault="00C674E4">
      <w:pPr>
        <w:pStyle w:val="ConsPlusNormal"/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C674E4" w:rsidRDefault="00DC5A8D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74E4" w:rsidRDefault="00DC5A8D">
      <w:pPr>
        <w:pStyle w:val="ConsPlusNormal"/>
        <w:tabs>
          <w:tab w:val="left" w:pos="1134"/>
        </w:tabs>
        <w:jc w:val="center"/>
        <w:rPr>
          <w:szCs w:val="28"/>
        </w:rPr>
      </w:pPr>
      <w:r>
        <w:rPr>
          <w:szCs w:val="28"/>
        </w:rPr>
        <w:t>(наименование проекта)</w:t>
      </w:r>
    </w:p>
    <w:p w:rsidR="00C674E4" w:rsidRDefault="00C674E4">
      <w:pPr>
        <w:pStyle w:val="ConsPlusNormal"/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C674E4" w:rsidRDefault="00DC5A8D">
      <w:pPr>
        <w:rPr>
          <w:rFonts w:ascii="Calibri" w:eastAsia="Calibri" w:hAnsi="Calibri" w:cs="Calibri"/>
          <w:color w:val="0070C0"/>
          <w:szCs w:val="20"/>
        </w:rPr>
      </w:pPr>
      <w:r>
        <w:rPr>
          <w:sz w:val="28"/>
          <w:szCs w:val="28"/>
        </w:rPr>
        <w:t>_______________________________________________________________</w:t>
      </w:r>
      <w:r>
        <w:rPr>
          <w:color w:val="0070C0"/>
          <w:sz w:val="28"/>
          <w:szCs w:val="28"/>
        </w:rPr>
        <w:t>___</w:t>
      </w:r>
    </w:p>
    <w:p w:rsidR="00C674E4" w:rsidRDefault="00DC5A8D">
      <w:pPr>
        <w:pStyle w:val="ConsPlusNormal"/>
        <w:tabs>
          <w:tab w:val="left" w:pos="1134"/>
        </w:tabs>
        <w:jc w:val="center"/>
        <w:rPr>
          <w:szCs w:val="28"/>
        </w:rPr>
      </w:pPr>
      <w:r>
        <w:rPr>
          <w:szCs w:val="28"/>
        </w:rPr>
        <w:t>(полное наименование ТОС)</w:t>
      </w:r>
    </w:p>
    <w:p w:rsidR="00C674E4" w:rsidRDefault="00C674E4">
      <w:pPr>
        <w:pStyle w:val="ConsPlusNormal"/>
        <w:tabs>
          <w:tab w:val="left" w:pos="1134"/>
        </w:tabs>
        <w:jc w:val="center"/>
        <w:rPr>
          <w:color w:val="0070C0"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672"/>
        <w:gridCol w:w="4821"/>
      </w:tblGrid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Направление, которому соот</w:t>
            </w:r>
            <w:r>
              <w:rPr>
                <w:sz w:val="28"/>
                <w:szCs w:val="28"/>
              </w:rPr>
              <w:t>ветствует деятельность по проекту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проекта, на реализацию которого запрашивается субсидия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проекта (деятельности в рамках проекта)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География проекта (адрес(а) помещения (территории), где планируется проведение мероприятий  про</w:t>
            </w:r>
            <w:r>
              <w:rPr>
                <w:sz w:val="28"/>
                <w:szCs w:val="28"/>
                <w:highlight w:val="white"/>
              </w:rPr>
              <w:t>екта)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реализации проекта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реализации проекта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Обоснование социальной значимости проекта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rPr>
          <w:gridAfter w:val="1"/>
          <w:wAfter w:w="4821" w:type="dxa"/>
        </w:trPr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Целевые группы проекта</w:t>
            </w:r>
          </w:p>
        </w:tc>
      </w:tr>
      <w:tr w:rsidR="00C674E4">
        <w:trPr>
          <w:gridAfter w:val="1"/>
          <w:wAfter w:w="4821" w:type="dxa"/>
        </w:trPr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Цель  проекта</w:t>
            </w: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Задачи проекта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Ожидаемые количественные  результаты проекта (следует указать конкретные, измеримые в числовых значениях, результаты, которые планируется достичь за период реализации проекта)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Ожидаемые качественные результаты проекта</w:t>
            </w:r>
          </w:p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(следует указать результаты, не изме</w:t>
            </w:r>
            <w:r>
              <w:rPr>
                <w:sz w:val="28"/>
                <w:szCs w:val="28"/>
                <w:highlight w:val="white"/>
              </w:rPr>
              <w:t>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Информация о руководителе проекта (Ф.И.О., кон</w:t>
            </w:r>
            <w:r>
              <w:rPr>
                <w:sz w:val="28"/>
                <w:szCs w:val="28"/>
                <w:highlight w:val="white"/>
              </w:rPr>
              <w:t xml:space="preserve">тактный </w:t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телефон) 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Информация о команде проекта (Ф.И.О.)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  <w:tr w:rsidR="00C674E4">
        <w:tc>
          <w:tcPr>
            <w:tcW w:w="4672" w:type="dxa"/>
          </w:tcPr>
          <w:p w:rsidR="00C674E4" w:rsidRDefault="00DC5A8D">
            <w:pPr>
              <w:pStyle w:val="ConsPlusNormal"/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4821" w:type="dxa"/>
          </w:tcPr>
          <w:p w:rsidR="00C674E4" w:rsidRDefault="00C674E4">
            <w:pPr>
              <w:pStyle w:val="ConsPlusNormal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74E4" w:rsidRDefault="00C674E4">
      <w:pPr>
        <w:pStyle w:val="ConsPlusNormal"/>
        <w:tabs>
          <w:tab w:val="left" w:pos="1134"/>
        </w:tabs>
        <w:jc w:val="center"/>
        <w:rPr>
          <w:sz w:val="28"/>
          <w:szCs w:val="28"/>
        </w:rPr>
      </w:pPr>
    </w:p>
    <w:p w:rsidR="00C674E4" w:rsidRDefault="00DC5A8D">
      <w:pPr>
        <w:pStyle w:val="26"/>
        <w:shd w:val="clear" w:color="auto" w:fill="auto"/>
        <w:spacing w:before="0" w:after="0" w:line="324" w:lineRule="exact"/>
        <w:ind w:firstLine="740"/>
      </w:pPr>
      <w:r>
        <w:t>Достоверность информации (в том числе документов), предоставленной             в составе заявки, подтверждаю.</w:t>
      </w:r>
    </w:p>
    <w:p w:rsidR="00C674E4" w:rsidRDefault="00DC5A8D">
      <w:pPr>
        <w:pStyle w:val="ConsPlusNormal"/>
        <w:ind w:firstLine="708"/>
        <w:jc w:val="both"/>
        <w:rPr>
          <w:sz w:val="28"/>
          <w:highlight w:val="white"/>
        </w:rPr>
      </w:pPr>
      <w:r>
        <w:rPr>
          <w:sz w:val="28"/>
          <w:szCs w:val="28"/>
          <w:highlight w:val="white"/>
        </w:rPr>
        <w:t>С условиями Порядка</w:t>
      </w:r>
      <w:r>
        <w:rPr>
          <w:sz w:val="28"/>
          <w:szCs w:val="28"/>
          <w:highlight w:val="white"/>
        </w:rPr>
        <w:t xml:space="preserve">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 </w:t>
      </w:r>
      <w:r>
        <w:rPr>
          <w:sz w:val="28"/>
        </w:rPr>
        <w:t xml:space="preserve">(далее – Порядок) </w:t>
      </w:r>
      <w:r>
        <w:rPr>
          <w:sz w:val="28"/>
          <w:highlight w:val="white"/>
        </w:rPr>
        <w:t>ознакомлен(а) и согласен(а).</w:t>
      </w:r>
    </w:p>
    <w:p w:rsidR="00C674E4" w:rsidRDefault="00DC5A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Подтверждаю, что средства </w:t>
      </w:r>
      <w:r>
        <w:rPr>
          <w:rFonts w:ascii="Times New Roman" w:hAnsi="Times New Roman" w:cs="Times New Roman"/>
          <w:sz w:val="28"/>
        </w:rPr>
        <w:t>из бюджета города</w:t>
      </w:r>
      <w:r>
        <w:rPr>
          <w:rFonts w:ascii="Times New Roman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Нижневартовска на цели, установленные Порядком, на основании иных муниципальных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территориальное общественное самоуправление (далее - ТОС) не получает.</w:t>
      </w:r>
    </w:p>
    <w:p w:rsidR="00C674E4" w:rsidRDefault="00DC5A8D">
      <w:pPr>
        <w:pStyle w:val="26"/>
        <w:shd w:val="clear" w:color="auto" w:fill="auto"/>
        <w:spacing w:before="0" w:after="0" w:line="324" w:lineRule="exact"/>
        <w:ind w:firstLine="740"/>
      </w:pPr>
      <w:r>
        <w:t>Даю согласие на публикацию (размещение) в информационно-тел</w:t>
      </w:r>
      <w:r>
        <w:t>екоммуникационной сети "Интернет" информации о ТОС, о подаваемом проекте, иной информации о ТОС, связанной с конкурсом на предоставление субсидий ТОС города Нижневартовска на осуществление собственных инициатив по вопросам местного значения.</w:t>
      </w:r>
    </w:p>
    <w:p w:rsidR="00C674E4" w:rsidRDefault="00C674E4">
      <w:pPr>
        <w:pStyle w:val="26"/>
        <w:shd w:val="clear" w:color="auto" w:fill="auto"/>
        <w:spacing w:before="0" w:after="0" w:line="324" w:lineRule="exact"/>
      </w:pPr>
    </w:p>
    <w:p w:rsidR="00C674E4" w:rsidRDefault="00C674E4">
      <w:pPr>
        <w:pStyle w:val="26"/>
        <w:shd w:val="clear" w:color="auto" w:fill="auto"/>
        <w:spacing w:before="0" w:after="0" w:line="324" w:lineRule="exact"/>
      </w:pPr>
    </w:p>
    <w:p w:rsidR="00C674E4" w:rsidRDefault="00DC5A8D">
      <w:pPr>
        <w:pStyle w:val="26"/>
        <w:shd w:val="clear" w:color="auto" w:fill="auto"/>
        <w:tabs>
          <w:tab w:val="left" w:pos="7455"/>
        </w:tabs>
        <w:spacing w:before="0" w:after="0" w:line="240" w:lineRule="auto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4102100</wp:posOffset>
                </wp:positionH>
                <wp:positionV relativeFrom="paragraph">
                  <wp:posOffset>7620</wp:posOffset>
                </wp:positionV>
                <wp:extent cx="1714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0" style="position:absolute;mso-wrap-distance-left:9.0pt;mso-wrap-distance-top:0.0pt;mso-wrap-distance-right:9.0pt;mso-wrap-distance-bottom:0.0pt;z-index:251664384;o:allowoverlap:true;o:allowincell:true;mso-position-horizontal-relative:margin;margin-left:323.0pt;mso-position-horizontal:absolute;mso-position-vertical-relative:text;margin-top:0.6pt;mso-position-vertical:absolute;width:135.0pt;height:0.0pt;" coordsize="100000,100000" path="" filled="f" strokecolor="#000000" strokeweight="0.50pt">
                <v:path textboxrect="0,0,0,0"/>
              </v:shape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7620</wp:posOffset>
                </wp:positionV>
                <wp:extent cx="1476375" cy="0"/>
                <wp:effectExtent l="0" t="0" r="28575" b="19050"/>
                <wp:wrapNone/>
                <wp:docPr id="2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251663360;o:allowoverlap:true;o:allowincell:true;mso-position-horizontal-relative:text;margin-left:188.6pt;mso-position-horizontal:absolute;mso-position-vertical-relative:text;margin-top:0.6pt;mso-position-vertical:absolute;width:116.2pt;height:0.0pt;" coordsize="100000,100000" path="" filled="f" strokecolor="#000000" strokeweight="0.50pt">
                <v:path textboxrect="0,0,0,0"/>
              </v:shape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38375" cy="0"/>
                <wp:effectExtent l="0" t="0" r="9525" b="19050"/>
                <wp:wrapNone/>
                <wp:docPr id="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20" style="position:absolute;mso-wrap-distance-left:9.0pt;mso-wrap-distance-top:0.0pt;mso-wrap-distance-right:9.0pt;mso-wrap-distance-bottom:0.0pt;z-index:251665408;o:allowoverlap:true;o:allowincell:true;mso-position-horizontal-relative:margin;mso-position-horizontal:left;mso-position-vertical-relative:text;margin-top:0.6pt;mso-position-vertical:absolute;width:176.2pt;height:0.0pt;flip:x;" coordsize="100000,100000" path="" filled="f" strokecolor="#000000" strokeweight="0.50pt">
                <v:path textboxrect="0,0,0,0"/>
              </v:shape>
            </w:pict>
          </mc:Fallback>
        </mc:AlternateContent>
      </w:r>
      <w:r>
        <w:rPr>
          <w:sz w:val="22"/>
          <w:szCs w:val="22"/>
        </w:rPr>
        <w:t xml:space="preserve">           (наименование должности                        (подпись)                            (фамилия, инициалы)</w:t>
      </w:r>
    </w:p>
    <w:p w:rsidR="00C674E4" w:rsidRDefault="00DC5A8D">
      <w:pPr>
        <w:pStyle w:val="26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руководителя организации)</w:t>
      </w:r>
    </w:p>
    <w:p w:rsidR="00C674E4" w:rsidRDefault="00C674E4">
      <w:pPr>
        <w:pStyle w:val="54"/>
        <w:shd w:val="clear" w:color="auto" w:fill="auto"/>
        <w:tabs>
          <w:tab w:val="left" w:pos="4090"/>
          <w:tab w:val="left" w:pos="6214"/>
        </w:tabs>
        <w:spacing w:before="0"/>
      </w:pPr>
    </w:p>
    <w:p w:rsidR="00C674E4" w:rsidRDefault="00C674E4">
      <w:pPr>
        <w:pStyle w:val="54"/>
        <w:shd w:val="clear" w:color="auto" w:fill="auto"/>
        <w:tabs>
          <w:tab w:val="left" w:pos="4090"/>
          <w:tab w:val="left" w:pos="6214"/>
        </w:tabs>
        <w:spacing w:before="0"/>
      </w:pPr>
    </w:p>
    <w:p w:rsidR="00C674E4" w:rsidRDefault="00C674E4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C674E4" w:rsidRDefault="00DC5A8D">
      <w:pPr>
        <w:tabs>
          <w:tab w:val="left" w:pos="993"/>
        </w:tabs>
        <w:jc w:val="both"/>
        <w:rPr>
          <w:bCs/>
        </w:rPr>
      </w:pPr>
      <w:r>
        <w:rPr>
          <w:bCs/>
          <w:sz w:val="28"/>
          <w:szCs w:val="28"/>
        </w:rPr>
        <w:t xml:space="preserve">«____» _____________ 202_                                             М.П. </w:t>
      </w:r>
      <w:r>
        <w:rPr>
          <w:bCs/>
        </w:rPr>
        <w:t>(при наличии)</w:t>
      </w:r>
    </w:p>
    <w:p w:rsidR="00C674E4" w:rsidRDefault="00C674E4">
      <w:pPr>
        <w:pStyle w:val="ConsPlusNormal"/>
        <w:tabs>
          <w:tab w:val="left" w:pos="1134"/>
        </w:tabs>
        <w:jc w:val="both"/>
        <w:rPr>
          <w:szCs w:val="28"/>
        </w:rPr>
      </w:pPr>
    </w:p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C674E4"/>
    <w:p w:rsidR="00C674E4" w:rsidRDefault="00DC5A8D">
      <w:r>
        <w:br w:type="page" w:clear="all"/>
      </w:r>
    </w:p>
    <w:p w:rsidR="00C674E4" w:rsidRDefault="00C674E4"/>
    <w:p w:rsidR="00C674E4" w:rsidRDefault="00DC5A8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к  постановлению</w:t>
      </w:r>
    </w:p>
    <w:p w:rsidR="00C674E4" w:rsidRDefault="00DC5A8D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 ________ №________</w:t>
      </w:r>
    </w:p>
    <w:p w:rsidR="00C674E4" w:rsidRDefault="00C674E4">
      <w:pPr>
        <w:ind w:left="4962"/>
        <w:jc w:val="both"/>
        <w:rPr>
          <w:sz w:val="28"/>
          <w:szCs w:val="28"/>
        </w:rPr>
      </w:pPr>
    </w:p>
    <w:p w:rsidR="00C674E4" w:rsidRDefault="00DC5A8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</w:p>
    <w:p w:rsidR="00C674E4" w:rsidRDefault="00DC5A8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 порядку определения объема   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</w:t>
      </w:r>
      <w:r>
        <w:rPr>
          <w:sz w:val="28"/>
          <w:szCs w:val="28"/>
        </w:rPr>
        <w:t>го значения</w:t>
      </w:r>
    </w:p>
    <w:p w:rsidR="00C674E4" w:rsidRDefault="00C6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C674E4" w:rsidRDefault="00C6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trike/>
          <w:sz w:val="28"/>
          <w:szCs w:val="28"/>
        </w:rPr>
      </w:pPr>
    </w:p>
    <w:p w:rsidR="00C674E4" w:rsidRDefault="00DC5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(далее - Субъект), _____________________________________________,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(фамилия, имя, отчество (последнее - при наличии))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(вид основного документа, удостоверяющего личность)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серии __________________ №______________</w:t>
      </w:r>
      <w:r>
        <w:rPr>
          <w:sz w:val="28"/>
          <w:szCs w:val="28"/>
        </w:rPr>
        <w:t>____________________________,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выдачи ________________, выдан __________________________________,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(кем)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зарегистри</w:t>
      </w:r>
      <w:r>
        <w:rPr>
          <w:sz w:val="28"/>
          <w:szCs w:val="28"/>
        </w:rPr>
        <w:t>рованный(ая) по адресу: _____________________________________,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департаменту общественных коммуникаций и молодежной политики администрации города Нижневартовска (далее - Оператор), расположенному по адресу: улица Таежная, 24, на обработку </w:t>
      </w:r>
      <w:r>
        <w:rPr>
          <w:sz w:val="28"/>
          <w:szCs w:val="28"/>
        </w:rPr>
        <w:t>своих персональных данных на следующих условиях:</w:t>
      </w:r>
    </w:p>
    <w:p w:rsidR="00C674E4" w:rsidRDefault="00DC5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на предоставление субсидии.</w:t>
      </w:r>
    </w:p>
    <w:p w:rsidR="00C674E4" w:rsidRDefault="00DC5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персональных данных, передаваемых Оператору                  </w:t>
      </w:r>
      <w:r>
        <w:rPr>
          <w:sz w:val="28"/>
          <w:szCs w:val="28"/>
        </w:rPr>
        <w:t xml:space="preserve">                 на обработку: ________________________________________________________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Субъект дает согласие на обработку Оператором своих персональных данных, то </w:t>
      </w:r>
      <w:r>
        <w:rPr>
          <w:sz w:val="28"/>
          <w:szCs w:val="28"/>
        </w:rPr>
        <w:t>есть на совершение в том числе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</w:t>
      </w:r>
      <w:r>
        <w:rPr>
          <w:sz w:val="28"/>
          <w:szCs w:val="28"/>
        </w:rPr>
        <w:t xml:space="preserve">казанных способов обработки персональных данных приведено в Федеральном </w:t>
      </w:r>
      <w:hyperlink r:id="rId10" w:tooltip="https://login.consultant.ru/link/?rnd=7D9E61E923B7BA1E4ECD2DC7B38EE0E7&amp;req=doc&amp;base=LAW&amp;n=286959&amp;REFFIELD=134&amp;REFDST=1000000257&amp;REFDOC=210010&amp;REFBASE=RLAW926&amp;stat=refcode%3D16876%3Bindex%3D478&amp;date=25.05.2020" w:history="1">
        <w:r>
          <w:rPr>
            <w:sz w:val="28"/>
            <w:szCs w:val="28"/>
          </w:rPr>
          <w:t>з</w:t>
        </w:r>
        <w:r>
          <w:rPr>
            <w:sz w:val="28"/>
            <w:szCs w:val="28"/>
          </w:rPr>
          <w:t>аконе</w:t>
        </w:r>
      </w:hyperlink>
      <w:r>
        <w:rPr>
          <w:sz w:val="28"/>
          <w:szCs w:val="28"/>
        </w:rPr>
        <w:t xml:space="preserve">                              от 27.07.2006 №152-ФЗ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Оператор вправе обрабатывать персо</w:t>
      </w:r>
      <w:r>
        <w:rPr>
          <w:sz w:val="28"/>
          <w:szCs w:val="28"/>
        </w:rPr>
        <w:t>нальные данные как                              с использованием средств автоматизации, так и без использования таких средств.</w:t>
      </w:r>
    </w:p>
    <w:p w:rsidR="00C674E4" w:rsidRDefault="00DC5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Срок, в течение которого действует настоящее согласие: 5 лет, если иное не установлено действующим законодательством Российской Федерации.</w:t>
      </w:r>
    </w:p>
    <w:p w:rsidR="00C674E4" w:rsidRDefault="00DC5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Субъект подтверждает, что ему известно о праве досрочно отозвать свое согласие посредством составления соответс</w:t>
      </w:r>
      <w:r>
        <w:rPr>
          <w:sz w:val="28"/>
          <w:szCs w:val="28"/>
        </w:rPr>
        <w:t xml:space="preserve">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hyperlink r:id="rId11" w:tooltip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w:history="1">
        <w:r>
          <w:rPr>
            <w:sz w:val="28"/>
            <w:szCs w:val="28"/>
          </w:rPr>
          <w:t>пунктах 2</w:t>
        </w:r>
      </w:hyperlink>
      <w:r>
        <w:rPr>
          <w:sz w:val="28"/>
          <w:szCs w:val="28"/>
        </w:rPr>
        <w:t xml:space="preserve"> - </w:t>
      </w:r>
      <w:hyperlink r:id="rId12" w:tooltip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w:history="1">
        <w:r>
          <w:rPr>
            <w:sz w:val="28"/>
            <w:szCs w:val="28"/>
          </w:rPr>
          <w:t>11 части 1 статьи 6</w:t>
        </w:r>
      </w:hyperlink>
      <w:r>
        <w:rPr>
          <w:sz w:val="28"/>
          <w:szCs w:val="28"/>
        </w:rPr>
        <w:t xml:space="preserve">, </w:t>
      </w:r>
      <w:hyperlink r:id="rId13" w:tooltip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w:history="1">
        <w:r>
          <w:rPr>
            <w:sz w:val="28"/>
            <w:szCs w:val="28"/>
          </w:rPr>
          <w:t>части 2 статьи 10</w:t>
        </w:r>
      </w:hyperlink>
      <w:r>
        <w:rPr>
          <w:sz w:val="28"/>
          <w:szCs w:val="28"/>
        </w:rPr>
        <w:t xml:space="preserve"> и </w:t>
      </w:r>
      <w:hyperlink r:id="rId14" w:tooltip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w:history="1">
        <w:r>
          <w:rPr>
            <w:sz w:val="28"/>
            <w:szCs w:val="28"/>
          </w:rPr>
          <w:t>части 2</w:t>
        </w:r>
      </w:hyperlink>
      <w:r>
        <w:rPr>
          <w:sz w:val="28"/>
          <w:szCs w:val="28"/>
        </w:rPr>
        <w:t xml:space="preserve"> статьи 11 Федерального закона от 27.07.2006 №152-ФЗ                             "О персональных данных".</w:t>
      </w:r>
    </w:p>
    <w:p w:rsidR="00C674E4" w:rsidRDefault="00DC5A8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Субъект по письменному запросу </w:t>
      </w:r>
      <w:r>
        <w:rPr>
          <w:sz w:val="28"/>
          <w:szCs w:val="28"/>
        </w:rPr>
        <w:t xml:space="preserve">имеет право на получение информации, касающейся обработки его персональных данных (в соответствии со </w:t>
      </w:r>
      <w:hyperlink r:id="rId15" w:tooltip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w:history="1">
        <w:r>
          <w:rPr>
            <w:sz w:val="28"/>
            <w:szCs w:val="28"/>
          </w:rPr>
          <w:t>статьей 14</w:t>
        </w:r>
      </w:hyperlink>
      <w:r>
        <w:rPr>
          <w:sz w:val="28"/>
          <w:szCs w:val="28"/>
        </w:rPr>
        <w:t xml:space="preserve"> Федерального закона от 27.07.2006 №152-ФЗ "О персональных данных").</w:t>
      </w:r>
    </w:p>
    <w:p w:rsidR="00C674E4" w:rsidRDefault="00C6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ознакомлен(а) с положениями Федерального </w:t>
      </w:r>
      <w:hyperlink r:id="rId16" w:tooltip="https://login.consultant.ru/link/?rnd=7D9E61E923B7BA1E4ECD2DC7B38EE0E7&amp;req=doc&amp;base=LAW&amp;n=286959&amp;REFFIELD=134&amp;REFDST=1000000275&amp;REFDOC=210010&amp;REFBASE=RLAW926&amp;stat=refcode%3D16876%3Bindex%3D500&amp;date=25.05.2020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                         от 27.07.2006 №152-ФЗ "О персональных данных", права </w:t>
      </w:r>
      <w:r>
        <w:rPr>
          <w:sz w:val="28"/>
          <w:szCs w:val="28"/>
        </w:rPr>
        <w:t>и обязанности                     в области защиты персональных данных мне разъяснены.</w:t>
      </w:r>
    </w:p>
    <w:p w:rsidR="00C674E4" w:rsidRDefault="00C6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74E4" w:rsidRDefault="00C67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"___" __________ 20___ г.   ____________   _______________________________</w:t>
      </w:r>
    </w:p>
    <w:p w:rsidR="00C674E4" w:rsidRDefault="00DC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(подпись)        </w:t>
      </w:r>
      <w:r>
        <w:rPr>
          <w:sz w:val="20"/>
          <w:szCs w:val="20"/>
        </w:rPr>
        <w:t xml:space="preserve">                         (расшифровка подписи)</w:t>
      </w:r>
    </w:p>
    <w:p w:rsidR="00C674E4" w:rsidRDefault="00C674E4">
      <w:pPr>
        <w:pStyle w:val="ConsPlusNormal"/>
        <w:outlineLvl w:val="1"/>
        <w:rPr>
          <w:sz w:val="28"/>
          <w:szCs w:val="28"/>
        </w:rPr>
      </w:pPr>
    </w:p>
    <w:p w:rsidR="00C674E4" w:rsidRDefault="00C674E4"/>
    <w:sectPr w:rsidR="00C674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E4" w:rsidRDefault="00DC5A8D">
      <w:r>
        <w:separator/>
      </w:r>
    </w:p>
  </w:endnote>
  <w:endnote w:type="continuationSeparator" w:id="0">
    <w:p w:rsidR="00C674E4" w:rsidRDefault="00DC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E4" w:rsidRDefault="00DC5A8D">
      <w:r>
        <w:separator/>
      </w:r>
    </w:p>
  </w:footnote>
  <w:footnote w:type="continuationSeparator" w:id="0">
    <w:p w:rsidR="00C674E4" w:rsidRDefault="00DC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E4"/>
    <w:rsid w:val="0046208B"/>
    <w:rsid w:val="007D08F1"/>
    <w:rsid w:val="00C674E4"/>
    <w:rsid w:val="00DC5A8D"/>
    <w:rsid w:val="00E7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22DF"/>
  <w15:docId w15:val="{0475E735-3E29-418C-B5A4-9AF44F74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563C1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pPr>
      <w:ind w:firstLine="567"/>
      <w:jc w:val="both"/>
    </w:pPr>
    <w:rPr>
      <w:rFonts w:ascii="Consolas" w:hAnsi="Consolas"/>
      <w:sz w:val="21"/>
      <w:szCs w:val="21"/>
      <w:lang w:val="en-US" w:eastAsia="en-US"/>
    </w:rPr>
  </w:style>
  <w:style w:type="character" w:customStyle="1" w:styleId="af7">
    <w:name w:val="Текст Знак"/>
    <w:basedOn w:val="a0"/>
    <w:link w:val="af6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  <w:style w:type="character" w:customStyle="1" w:styleId="af9">
    <w:name w:val="Подпись к таблице_"/>
    <w:basedOn w:val="a0"/>
    <w:link w:val="a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Подпись к таблице"/>
    <w:basedOn w:val="a"/>
    <w:link w:val="af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600" w:line="284" w:lineRule="exact"/>
      <w:jc w:val="both"/>
    </w:pPr>
    <w:rPr>
      <w:sz w:val="22"/>
      <w:szCs w:val="22"/>
      <w:lang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ff">
    <w:name w:val="Верхний колонтитул Знак"/>
    <w:basedOn w:val="a0"/>
    <w:link w:val="afe"/>
    <w:uiPriority w:val="99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1502&amp;dst=100055&amp;field=134&amp;date=02.03.2023" TargetMode="External"/><Relationship Id="rId13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11117&amp;date=22.10.2021" TargetMode="External"/><Relationship Id="rId12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Relationship Id="rId10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71502&amp;dst=100055&amp;field=134&amp;date=02.03.2023" TargetMode="External"/><Relationship Id="rId14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283F68D-1E06-46FC-89CB-42B3F911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3449</Words>
  <Characters>19660</Characters>
  <Application>Microsoft Office Word</Application>
  <DocSecurity>0</DocSecurity>
  <Lines>163</Lines>
  <Paragraphs>46</Paragraphs>
  <ScaleCrop>false</ScaleCrop>
  <Company>meria</Company>
  <LinksUpToDate>false</LinksUpToDate>
  <CharactersWithSpaces>23063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2</cp:revision>
  <dcterms:created xsi:type="dcterms:W3CDTF">2023-04-07T07:03:00Z</dcterms:created>
  <dcterms:modified xsi:type="dcterms:W3CDTF">2023-04-07T07:03:00Z</dcterms:modified>
</cp:coreProperties>
</file>