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КОНТРОЛЯ ОБ ИСПОЛНЕНИИ КОНЦЕССИОНЕРОМ МЕРОПРИЯТИЙ,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ПРЕДУСМОТРЕННЫХ СОГЛАШЕНИЕМ.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521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__________________2024 г.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г. Нижневартовск</w:t>
      </w:r>
    </w:p>
    <w:p>
      <w:pPr>
        <w:tabs>
          <w:tab w:val="left" w:pos="6521"/>
        </w:tabs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Arial Unicode MS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Администрация муниципального образования города Нижневартовска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, в лице заместителя главы города, директора департамента жилищно-коммунального хозяйства администрации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Бокова Анатолия Николаевича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действующего в соответствии с постановлением администрации города Нижневартовска от 11.08.2017 №1233 «О порядке взаимодействия структурных подразделений администрации города, муниципальных учреждений города Нижневартовска при заключении концессионных соглашений», именуемое в дальнейшем 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«</w:t>
      </w:r>
      <w:r>
        <w:rPr>
          <w:rFonts w:ascii="Times New Roman" w:hAnsi="Times New Roman" w:eastAsia="Arial Unicode MS" w:cs="Times New Roman"/>
          <w:b/>
          <w:i/>
          <w:sz w:val="24"/>
          <w:szCs w:val="24"/>
          <w:lang w:eastAsia="en-GB"/>
        </w:rPr>
        <w:t xml:space="preserve">Концедент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»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с одной стороны,                                      и </w:t>
      </w:r>
      <w:r>
        <w:rPr>
          <w:rFonts w:ascii="Times New Roman" w:hAnsi="Times New Roman" w:eastAsia="Arial Unicode MS" w:cs="Times New Roman"/>
          <w:b/>
          <w:i/>
          <w:sz w:val="24"/>
          <w:szCs w:val="24"/>
          <w:lang w:eastAsia="en-GB"/>
        </w:rPr>
        <w:t xml:space="preserve">акционерное общество «Городские электрические сети»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в лице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Елина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Юрия Алексеевича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именуемое в дальнейшем «</w:t>
      </w:r>
      <w:r>
        <w:rPr>
          <w:rFonts w:ascii="Times New Roman" w:hAnsi="Times New Roman" w:eastAsia="Arial Unicode MS" w:cs="Times New Roman"/>
          <w:b/>
          <w:i/>
          <w:sz w:val="24"/>
          <w:szCs w:val="24"/>
          <w:lang w:eastAsia="en-GB"/>
        </w:rPr>
        <w:t xml:space="preserve">Концессионер»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с другой стороны, далее совместно именуемые «</w:t>
      </w:r>
      <w:r>
        <w:rPr>
          <w:rFonts w:ascii="Times New Roman" w:hAnsi="Times New Roman" w:eastAsia="Arial Unicode MS" w:cs="Times New Roman"/>
          <w:b/>
          <w:i/>
          <w:sz w:val="24"/>
          <w:szCs w:val="24"/>
          <w:lang w:eastAsia="en-GB"/>
        </w:rPr>
        <w:t xml:space="preserve">Стороны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»</w:t>
      </w:r>
      <w:r>
        <w:rPr>
          <w:rFonts w:ascii="Times New Roman" w:hAnsi="Times New Roman" w:cs="Times New Roman"/>
          <w:iCs/>
          <w:sz w:val="24"/>
          <w:szCs w:val="24"/>
        </w:rPr>
        <w:t xml:space="preserve">, составили настоящий акт об исполнении мероприятий, предусмотренных Концессионным соглашением от 18.09.2019 №3 (далее –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Концесионное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соглашение):</w:t>
      </w: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1. Проверка исполнения Концессионером условий Концессионного соглашения и использования муниципального имущества – Объекта соглашения проведена в срок с 29.03.2024 по 29.04.2024.</w:t>
      </w: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 Проверяемый период </w:t>
      </w:r>
      <w:r>
        <w:rPr>
          <w:b/>
          <w:iCs/>
        </w:rPr>
        <w:t xml:space="preserve">2023 год</w:t>
      </w:r>
      <w:r>
        <w:rPr>
          <w:iCs/>
        </w:rPr>
        <w:t xml:space="preserve">.</w:t>
      </w: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Цель: контроль за соблюдением </w:t>
      </w:r>
      <w:r>
        <w:rPr>
          <w:lang w:eastAsia="ar-SA"/>
        </w:rPr>
        <w:t xml:space="preserve">Концессионером</w:t>
      </w:r>
      <w:r>
        <w:rPr>
          <w:iCs/>
        </w:rPr>
        <w:t xml:space="preserve"> условий Концессионного соглашения, в том числе по осуществлению инвестиций                                в создание, реконструкцию Объектов, осуществлению деятельности, предусмотренной Концессионным соглашением, использованию (эксплуатации) Объекта соглашения, проверка наличия и сохранности муниципального имущества – Объекта соглашения. </w:t>
      </w:r>
    </w:p>
    <w:p>
      <w:pPr>
        <w:pStyle w:val="ab"/>
        <w:spacing w:beforeAutospacing="0" w:after="0" w:afterAutospacing="0"/>
        <w:ind w:firstLine="708"/>
        <w:jc w:val="both"/>
        <w:rPr>
          <w:b/>
          <w:iCs/>
        </w:rPr>
      </w:pPr>
    </w:p>
    <w:p>
      <w:pPr>
        <w:pStyle w:val="ab"/>
        <w:spacing w:beforeAutospacing="0" w:after="0" w:afterAutospacing="0"/>
        <w:ind w:firstLine="708"/>
        <w:jc w:val="both"/>
        <w:rPr>
          <w:b/>
          <w:iCs/>
        </w:rPr>
      </w:pPr>
      <w:r>
        <w:rPr>
          <w:b/>
          <w:iCs/>
        </w:rPr>
        <w:t xml:space="preserve">Заключение:</w:t>
      </w:r>
    </w:p>
    <w:p>
      <w:pPr>
        <w:pStyle w:val="ab"/>
        <w:numPr>
          <w:numId w:val="1"/>
          <w:ilvl w:val="0"/>
        </w:numPr>
        <w:spacing w:beforeAutospacing="0" w:after="0" w:afterAutospacing="0"/>
        <w:jc w:val="both"/>
      </w:pPr>
      <w:r>
        <w:rPr>
          <w:iCs/>
        </w:rPr>
        <w:t xml:space="preserve">Стороны подтверждают </w:t>
      </w:r>
      <w:r>
        <w:rPr>
          <w:b/>
          <w:iCs/>
          <w:u w:val="single"/>
        </w:rPr>
        <w:t xml:space="preserve">полное</w:t>
      </w:r>
      <w:r>
        <w:rPr>
          <w:b/>
          <w:iCs/>
        </w:rPr>
        <w:t xml:space="preserve">/частичное</w:t>
      </w:r>
      <w:r>
        <w:rPr>
          <w:iCs/>
        </w:rPr>
        <w:t xml:space="preserve"> выполнение Концессионером мероприятий, предусмотренных </w:t>
      </w:r>
      <w:r>
        <w:rPr>
          <w:iCs/>
        </w:rPr>
        <w:t xml:space="preserve">Концессионным соглашением (далее – Мероприятия): </w:t>
      </w: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7"/>
        <w:gridCol w:w="1842"/>
        <w:gridCol w:w="992"/>
        <w:gridCol w:w="1134"/>
        <w:gridCol w:w="851"/>
        <w:gridCol w:w="992"/>
        <w:gridCol w:w="1134"/>
        <w:gridCol w:w="993"/>
        <w:gridCol w:w="1134"/>
        <w:gridCol w:w="1134"/>
        <w:gridCol w:w="1134"/>
        <w:gridCol w:w="992"/>
        <w:gridCol w:w="851"/>
        <w:gridCol w:w="1274"/>
      </w:tblGrid>
      <w:tr>
        <w:trPr>
          <w:trHeight w:val="463"/>
          <w:tblHeader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Наименование мероприятий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реализации мероприятий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Кол-во дней просрочки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Физические объемы выполненных работ 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выполненных мероприятий за 2023г., тыс. руб. (без НДС)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инвестиций за 2019 – 2023 гг., тыс. руб. (без НДС)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Общая стоимость мероприятия до 2029 в соответствии  с КС, тыс. руб. (без НДС)</w:t>
            </w:r>
          </w:p>
        </w:tc>
      </w:tr>
      <w:tr>
        <w:trPr>
          <w:trHeight w:val="839"/>
          <w:tblHeader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исполнения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КС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Фактическое выполнение в двухтрубном исполнении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* финансирования мероприятий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** выполнения мероприятий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финансирования мероприятий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>
        <w:trPr>
          <w:trHeight w:val="122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1.1.1.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                     сетей теплоснабжения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4223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,00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2 000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183 205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181 216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181 216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301 116</w:t>
            </w:r>
          </w:p>
        </w:tc>
      </w:tr>
      <w:tr>
        <w:trPr>
          <w:trHeight w:val="87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1.1.1.3.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Строительство  сетей теплоснабжения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2123,00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1 000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138 744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137 756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137 756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161 864</w:t>
            </w:r>
          </w:p>
        </w:tc>
      </w:tr>
      <w:tr>
        <w:trPr>
          <w:trHeight w:val="87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1.1.1.4.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Строительство сетей теплоснабжения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bookmarkStart w:id="0" w:name="RANGE!F10"/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1240,00 м</w:t>
            </w:r>
            <w:bookmarkEnd w:id="0"/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1 000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44 461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43 460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43 460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94 576</w:t>
            </w:r>
          </w:p>
        </w:tc>
      </w:tr>
      <w:tr>
        <w:trPr>
          <w:trHeight w:val="114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1.2.1.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Строительство   газовой котельной   в   квартале   В-5   г. Нижневартовска.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15 878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15 744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15 812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558 469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558 367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558 367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562 500</w:t>
            </w:r>
          </w:p>
        </w:tc>
      </w:tr>
      <w:tr>
        <w:trPr>
          <w:trHeight w:val="100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1.4.1.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Реконструкция котельной №3А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57 583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45 500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45 500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112 875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100 792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100 792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416 667</w:t>
            </w:r>
          </w:p>
        </w:tc>
      </w:tr>
      <w:tr>
        <w:trPr>
          <w:trHeight w:val="96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3.1.1.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Модернизация       (техническое перевооружение)   тепловых сетей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3 823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442,79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25 997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25 416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25 416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107 335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106 614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106 614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133 614</w:t>
            </w:r>
          </w:p>
        </w:tc>
      </w:tr>
      <w:tr>
        <w:trPr>
          <w:trHeight w:val="165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3.1.1.27. 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Участок внутриквартальных тепловых сетей от УТ-5-20-2 - Нефтяной  техникум (Мира, 37) до ТК- 2, Учебная зона (инв.№8206)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320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82,23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7 360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3 686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3 686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7 360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3 686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3 686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7 360</w:t>
            </w:r>
          </w:p>
        </w:tc>
      </w:tr>
      <w:tr>
        <w:trPr>
          <w:trHeight w:val="97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3.1.1.28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Участок внутриквартальных тепловых сетей от ТК-30 до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ж.д.Ленина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, 23, 12 микрорайон (инв.№6007)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280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146,75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6 360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6 295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6 295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6 360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6 295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6 295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6 360</w:t>
            </w:r>
          </w:p>
        </w:tc>
      </w:tr>
      <w:tr>
        <w:trPr>
          <w:trHeight w:val="130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3.1.1.29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Участок внутриквартальных тепловых сетей от ТК-2 до ТК-4, учебная зона № 8208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61,16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913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2 018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2 018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913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2 018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2 018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913</w:t>
            </w:r>
          </w:p>
        </w:tc>
      </w:tr>
      <w:tr>
        <w:trPr>
          <w:trHeight w:val="172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3.1.1.30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Участок магистральных тепловых сетей от Уз7-Уз6’ до Уз6 по ул. Жукова контур котельной №1 № 3057Б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144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152,65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11 363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13 417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13 417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11 363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13 417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13 417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11 363</w:t>
            </w:r>
          </w:p>
        </w:tc>
      </w:tr>
      <w:tr>
        <w:trPr>
          <w:trHeight w:val="115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Модернизация       (техническое перевооружение)    дополнительных участков     тепловых сетей, определенных по результатам гидравлических испытаний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57 865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665,96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64 619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117 520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83 360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108 077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160 978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126 819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875 911</w:t>
            </w:r>
          </w:p>
        </w:tc>
      </w:tr>
      <w:tr>
        <w:trPr>
          <w:trHeight w:val="124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3.1.2.9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УТ-55 - УТ-56 до УТ-57 по ул.60 лет Октября", инв.№5000003281 в составе объекта: Магистральные тепловые сети (от котельной №5, расположенной по улице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Кузоваткина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№1а)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26.10.2023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192,5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73,10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11 428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20 316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11 316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11 428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20 316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11 316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32 007</w:t>
            </w:r>
          </w:p>
        </w:tc>
      </w:tr>
      <w:tr>
        <w:trPr>
          <w:trHeight w:val="124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3.1.2.10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УТ-105 до неподвижной опоры 11 по ул. Ханты-Мансийской кот.№ 3А", инв.№ 5000003433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26.10.2023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132 м 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67,79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5 949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8 107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8 107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5 949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8 107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8 107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12 632</w:t>
            </w:r>
          </w:p>
        </w:tc>
      </w:tr>
      <w:tr>
        <w:trPr>
          <w:trHeight w:val="103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УТ-70 до УТ-72 по ул. Интернациональной Кот.3", инв.№5000003829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26.10.2023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114,86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28,66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6 221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19 950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9 950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6 221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19 950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9 950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30 455</w:t>
            </w:r>
          </w:p>
        </w:tc>
      </w:tr>
      <w:tr>
        <w:trPr>
          <w:trHeight w:val="99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3.1.2.12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УТ-63А до УТ-62 по. ул.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Др.Народов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", инв. №5000007591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161,53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110,80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14 943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20 302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20 302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14 943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20 302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20 302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26 703</w:t>
            </w:r>
          </w:p>
        </w:tc>
      </w:tr>
      <w:tr>
        <w:trPr>
          <w:trHeight w:val="124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3.1.2.13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УТ-76 до УТ-70  по ул. Интернациональной", инв.№5000007594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26.10.2023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106,64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35,50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6 387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8 413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8 413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6 387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8 413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8 413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28 258</w:t>
            </w:r>
          </w:p>
        </w:tc>
      </w:tr>
      <w:tr>
        <w:trPr>
          <w:trHeight w:val="103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3.1.2.14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ТК-1 до д/с № 29 (стр.20) Квартал Мира (Спортивная,2)", инв. №5000008777 в составе объекта: Тепловые сети квартала "Мира"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60,02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63,35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926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897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897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926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897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897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926</w:t>
            </w:r>
          </w:p>
        </w:tc>
      </w:tr>
      <w:tr>
        <w:trPr>
          <w:trHeight w:val="109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3.1.2.15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УТ-103 - Уз.-68' - Уз.-68 по ул. Мира, кот.№ 3А", инв.№5000003363 в составе объекта: Магистральные тепловые сети (от котельной №3А,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расположенной по ул. Интернациональной, №71в)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240,80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106,90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17 926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35 564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20 404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17 926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35 564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20 404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39 933</w:t>
            </w:r>
          </w:p>
        </w:tc>
      </w:tr>
      <w:tr>
        <w:trPr>
          <w:trHeight w:val="124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3.1.2.16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УТ-1 до общежития 10 (Чапаева, 34) квартал 7а", инв.№5000008199 в составе объекта: Тепловые сети квартала 7 "А"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50,00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47,78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839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883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883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839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883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883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839</w:t>
            </w:r>
          </w:p>
        </w:tc>
      </w:tr>
      <w:tr>
        <w:trPr>
          <w:trHeight w:val="103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3.1.2.19 Доп.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"ТС от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ж.д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 Мира, 6 через ТК-16 до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ж.д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 25 (Мира, 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а)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мкр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 3", инв.№ 5000005249   в составе объекта: 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епловые сети 3-го микрорайона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green"/>
                <w:lang w:eastAsia="ru-RU"/>
              </w:rPr>
            </w:pP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132,09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3 088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3 088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3 088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3 088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</w:tr>
      <w:tr>
        <w:trPr>
          <w:trHeight w:val="1576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3.2.3.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еконструкция   котельной №5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71 311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68 080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68 496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188 351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185 121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164 864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437 501</w:t>
            </w:r>
          </w:p>
        </w:tc>
      </w:tr>
      <w:tr>
        <w:trPr>
          <w:trHeight w:val="1416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3.2.4.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Реконструкция котельной №8 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11 987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11 987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32 595</w:t>
            </w:r>
          </w:p>
        </w:tc>
      </w:tr>
      <w:tr>
        <w:trPr>
          <w:trHeight w:val="1128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3.2.7.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Реконструкция тепловых, подмешивающих станций (ПС)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12 500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4 315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4 315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12 500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4 315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4 315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83 332</w:t>
            </w:r>
          </w:p>
        </w:tc>
      </w:tr>
      <w:tr>
        <w:trPr>
          <w:trHeight w:val="1414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3.2.8.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Модернизация       (техническое перевооружение) ЦТП 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38 972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24 579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24 579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175 137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160 743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163 743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379 271</w:t>
            </w:r>
          </w:p>
        </w:tc>
      </w:tr>
      <w:tr>
        <w:trPr>
          <w:trHeight w:val="987"/>
        </w:trPr>
        <w:tc>
          <w:tcPr>
            <w:tcW w:w="5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Итого в сфере теплоснабжения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300 848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301 153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267 478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 </w:t>
            </w:r>
          </w:p>
        </w:tc>
      </w:tr>
      <w:tr>
        <w:trPr>
          <w:trHeight w:val="699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3.1.1.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Модернизация       (техническое перевооружение)                 сетей горячего водоснабжения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31.12.2027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4 488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61,12 м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1 331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2 491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2 491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87 770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88 538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88 538</w:t>
            </w:r>
          </w:p>
        </w:tc>
        <w:tc>
          <w:tcPr>
            <w:tcW w:w="127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118 724</w:t>
            </w:r>
          </w:p>
        </w:tc>
      </w:tr>
      <w:tr>
        <w:trPr>
          <w:trHeight w:val="90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3.1.1.38.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Участок сети горячего водоснабжения от ТК-1(ТК-5) до детского сада 29 (стр.20) (Спортивная, 2) (сшитый полиэтилен), квартал Мира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120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61,12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1 331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2 491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2 491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1 331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2 491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2 491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1 331</w:t>
            </w:r>
          </w:p>
        </w:tc>
      </w:tr>
      <w:tr>
        <w:trPr>
          <w:trHeight w:val="2022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3.1.2.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Модернизация (техническое перевооружение) сетей горячего водоснабжения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31.12.2026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10 282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557,61 м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24093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22998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21315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24 093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22 998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21 315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94 835</w:t>
            </w:r>
          </w:p>
        </w:tc>
      </w:tr>
      <w:tr>
        <w:trPr>
          <w:trHeight w:val="900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"Сети горячего водоснабжения квартала "Прибрежный-1"", инв.№5100008592 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318,00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358,40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16 283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12 024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12 024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16 283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12 024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12 024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16 283</w:t>
            </w:r>
          </w:p>
        </w:tc>
      </w:tr>
      <w:tr>
        <w:trPr>
          <w:trHeight w:val="1704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"ГВ от ЦТП-72 (7/3) к зданиям", инв.№5100003405 в составе объекта: Сети горячего водоснабжения 7 микрорайона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126,00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149,13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6 462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7 738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7 738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6 462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7 738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7 738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6 462</w:t>
            </w:r>
          </w:p>
        </w:tc>
      </w:tr>
      <w:tr>
        <w:trPr>
          <w:trHeight w:val="2013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3.1.2.3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"ГВ от УТ-1 до общежития 10 (Чапаева, 34) квартал 7а, инв.№5100008200 в составе объекта: Сети горячего водоснабжения квартала 7"а""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29.12.2023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50,00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50,09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1 348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1 552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1 552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1 348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1 552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1 552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1 348</w:t>
            </w:r>
          </w:p>
        </w:tc>
      </w:tr>
      <w:tr>
        <w:trPr>
          <w:trHeight w:val="1766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3.1.2.6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"ГВ от ЦТП-8/2 до наружной стены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ж.д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. № 15/2 по ул. Ленина", инв.№5100004152 в составе объекта: Сооружения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230,00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746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746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11 610</w:t>
            </w:r>
          </w:p>
        </w:tc>
      </w:tr>
      <w:tr>
        <w:trPr>
          <w:trHeight w:val="995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3.1.2.7 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ГВ от УТ-44 до д/сада 34 (д/сад 77 "Эрудит")" инв.№ 5100007703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190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</w:tr>
      <w:tr>
        <w:trPr>
          <w:trHeight w:val="813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3.1.2.8 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ГВ к ж.д.4 (Северная,19) 10В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мкр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. инв.№ 5100008897 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373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373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</w:tr>
      <w:tr>
        <w:trPr>
          <w:trHeight w:val="1382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3.1.2.9 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ГВ от ТК.43 - ТК.46 - ТК.45 - ТК.44 до ж.д.22 (Интернациональная,47)" инв.№ 5100007676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Срок мероприятия не наступил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0,00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374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374</w:t>
            </w:r>
          </w:p>
        </w:tc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</w:tr>
      <w:tr>
        <w:trPr>
          <w:trHeight w:val="995"/>
        </w:trPr>
        <w:tc>
          <w:tcPr>
            <w:tcW w:w="5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Итого в сфере горячего водоснабжения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25 424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25 488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23 806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 </w:t>
            </w:r>
          </w:p>
        </w:tc>
      </w:tr>
      <w:tr>
        <w:trPr>
          <w:trHeight w:val="981"/>
        </w:trPr>
        <w:tc>
          <w:tcPr>
            <w:tcW w:w="5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Всего</w:t>
            </w:r>
          </w:p>
        </w:tc>
        <w:tc>
          <w:tcPr>
            <w:tcW w:w="992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 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326 272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326 642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291 283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992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 </w:t>
            </w:r>
          </w:p>
        </w:tc>
        <w:tc>
          <w:tcPr>
            <w:tcW w:w="1274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 </w:t>
            </w:r>
          </w:p>
        </w:tc>
      </w:tr>
    </w:tbl>
    <w:p>
      <w:pPr>
        <w:spacing w:after="0"/>
      </w:pPr>
    </w:p>
    <w:p>
      <w:pPr>
        <w:pStyle w:val="ab"/>
        <w:spacing w:beforeAutospacing="0" w:after="0" w:afterAutospacing="0"/>
        <w:ind w:firstLine="708"/>
        <w:jc w:val="both"/>
      </w:pPr>
      <w:r>
        <w:t xml:space="preserve">Примечание: </w:t>
      </w: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* Фактическое финансирование подтверждается платежными поручениями;</w:t>
      </w: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**Фактическое выполнение мероприятий подтверждается формами КС-2, КС-3, КС-11.</w:t>
      </w:r>
    </w:p>
    <w:p>
      <w:pPr>
        <w:pStyle w:val="ab"/>
        <w:spacing w:beforeAutospacing="0" w:after="0" w:afterAutospacing="0"/>
        <w:ind w:left="709"/>
        <w:jc w:val="both"/>
        <w:rPr>
          <w:iCs/>
        </w:rPr>
      </w:pPr>
      <w:r>
        <w:rPr>
          <w:iCs/>
        </w:rPr>
        <w:t xml:space="preserve">2. </w:t>
      </w:r>
      <w:r>
        <w:rPr>
          <w:iCs/>
        </w:rPr>
        <w:t xml:space="preserve">Объекты, в отношении которых были проведены Мероприятия, их состав и описание,</w:t>
      </w:r>
      <w:r>
        <w:rPr>
          <w:iCs/>
        </w:rPr>
        <w:t xml:space="preserve"> включая технико-экономические показатели, </w:t>
      </w:r>
      <w:r>
        <w:rPr>
          <w:b/>
          <w:iCs/>
          <w:u w:val="single"/>
        </w:rPr>
        <w:t xml:space="preserve">соответствует</w:t>
      </w:r>
      <w:r>
        <w:rPr>
          <w:b/>
          <w:iCs/>
        </w:rPr>
        <w:t xml:space="preserve">/не соответствует</w:t>
      </w:r>
      <w:r>
        <w:rPr>
          <w:iCs/>
        </w:rPr>
        <w:t xml:space="preserve"> целям задания и основным мероприятиям, предусмотренным Концессионным соглашением. </w:t>
      </w:r>
    </w:p>
    <w:p>
      <w:pPr>
        <w:pStyle w:val="ab"/>
        <w:spacing w:beforeAutospacing="0" w:after="0" w:afterAutospacing="0"/>
        <w:ind w:left="709"/>
        <w:jc w:val="both"/>
        <w:rPr>
          <w:b/>
          <w:i/>
          <w:iCs/>
          <w:color w:val="ff0000"/>
        </w:rPr>
      </w:pPr>
      <w:r>
        <w:rPr>
          <w:iCs/>
        </w:rPr>
        <w:t xml:space="preserve">3. </w:t>
      </w:r>
      <w:r>
        <w:rPr>
          <w:iCs/>
        </w:rPr>
        <w:t xml:space="preserve">Концедент</w:t>
      </w:r>
      <w:r>
        <w:rPr>
          <w:iCs/>
        </w:rPr>
        <w:t xml:space="preserve"> </w:t>
      </w:r>
      <w:r>
        <w:rPr>
          <w:b/>
          <w:iCs/>
          <w:u w:val="single"/>
        </w:rPr>
        <w:t xml:space="preserve">не имеет</w:t>
      </w:r>
      <w:r>
        <w:rPr>
          <w:b/>
          <w:iCs/>
        </w:rPr>
        <w:t xml:space="preserve">/имеет</w:t>
      </w:r>
      <w:r>
        <w:rPr>
          <w:iCs/>
        </w:rPr>
        <w:t xml:space="preserve"> претензий к Концессионеру в части исполнения последним обязательств по срокам выполнения Мероприятий                   и достижению показателей надежности, качества и энергетической эффективности. </w:t>
      </w:r>
    </w:p>
    <w:p>
      <w:pPr>
        <w:pStyle w:val="ab"/>
        <w:spacing w:beforeAutospacing="0" w:after="0" w:afterAutospacing="0"/>
        <w:ind w:left="709"/>
        <w:jc w:val="both"/>
        <w:rPr>
          <w:iCs/>
        </w:rPr>
      </w:pPr>
      <w:r>
        <w:rPr>
          <w:iCs/>
        </w:rPr>
        <w:t xml:space="preserve">4. Мониторинг показателей надежности, качества и энергетической эффективности объектов приведен в приложении 1 к акту, долгосрочных параметров регулирования деятельности Концессионера – в приложении 2 к акту, финансирование мероприятий – в приложении 3 к акту. </w:t>
      </w:r>
    </w:p>
    <w:p>
      <w:pPr>
        <w:pStyle w:val="ab"/>
        <w:spacing w:beforeAutospacing="0" w:after="0" w:afterAutospacing="0"/>
        <w:ind w:left="709"/>
        <w:jc w:val="both"/>
        <w:rPr>
          <w:iCs/>
        </w:rPr>
      </w:pPr>
      <w:r>
        <w:rPr>
          <w:iCs/>
        </w:rPr>
        <w:t xml:space="preserve">5.  Настоящий акт составлен в 3 экземплярах, имеющих равную юридическую силу, и вступает в силу с даты его подписания уполномоченными представителями Сторон и удостоверяет надлежащее исполнение обязательств Концессионера в части осуществления Мероприятий с направлением 3 экземпляра акта в адрес уполномоченного органа Субъекта.</w:t>
      </w: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</w:p>
    <w:p>
      <w:pPr>
        <w:pStyle w:val="ab"/>
        <w:spacing w:beforeAutospacing="0" w:after="0" w:afterAutospacing="0"/>
        <w:ind w:firstLine="708"/>
        <w:jc w:val="both"/>
        <w:rPr>
          <w:iCs/>
        </w:rPr>
      </w:pPr>
    </w:p>
    <w:tbl>
      <w:tblPr>
        <w:tblW w:w="12050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7231"/>
        <w:gridCol w:w="4819"/>
      </w:tblGrid>
      <w:tr>
        <w:tc>
          <w:tcPr>
            <w:tcW w:w="7230" w:type="dxa"/>
          </w:tcPr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От имени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Концедента</w:t>
            </w:r>
          </w:p>
        </w:tc>
        <w:tc>
          <w:tcPr>
            <w:tcW w:w="4819" w:type="dxa"/>
          </w:tcPr>
          <w:p>
            <w:pPr>
              <w:tabs>
                <w:tab w:val="left" w:pos="426"/>
              </w:tabs>
              <w:spacing w:after="0" w:line="240" w:lineRule="auto"/>
              <w:ind w:left="1707" w:hanging="1707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От имени Концессионера</w:t>
            </w:r>
          </w:p>
        </w:tc>
      </w:tr>
      <w:tr>
        <w:tc>
          <w:tcPr>
            <w:tcW w:w="7230" w:type="dxa"/>
          </w:tcPr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___________________Боков А.Н. </w:t>
            </w:r>
          </w:p>
        </w:tc>
        <w:tc>
          <w:tcPr>
            <w:tcW w:w="4819" w:type="dxa"/>
          </w:tcPr>
          <w:p>
            <w:pPr>
              <w:tabs>
                <w:tab w:val="left" w:pos="426"/>
              </w:tabs>
              <w:spacing w:after="0" w:line="240" w:lineRule="auto"/>
              <w:ind w:left="1707" w:hanging="1707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spacing w:after="0" w:line="240" w:lineRule="auto"/>
              <w:ind w:left="1707" w:hanging="17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Елин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Ю.А.</w:t>
            </w:r>
          </w:p>
        </w:tc>
      </w:tr>
      <w:tr>
        <w:tc>
          <w:tcPr>
            <w:tcW w:w="7230" w:type="dxa"/>
          </w:tcPr>
          <w:p>
            <w:pPr>
              <w:keepNext/>
              <w:keepLines/>
              <w:widowControl w:val="o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М. П.</w:t>
            </w:r>
          </w:p>
        </w:tc>
        <w:tc>
          <w:tcPr>
            <w:tcW w:w="4819" w:type="dxa"/>
          </w:tcPr>
          <w:p>
            <w:pPr>
              <w:keepNext/>
              <w:keepLines/>
              <w:widowControl w:val="off"/>
              <w:tabs>
                <w:tab w:val="left" w:pos="426"/>
              </w:tabs>
              <w:spacing w:after="0" w:line="240" w:lineRule="auto"/>
              <w:ind w:left="1707" w:hanging="1707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М. П.</w:t>
            </w:r>
          </w:p>
        </w:tc>
      </w:tr>
    </w:tbl>
    <w:p>
      <w:pPr>
        <w:sectPr>
          <w:pgSz w:w="16838" w:h="11906" w:orient="landscape"/>
          <w:pgMar w:top="720" w:right="720" w:bottom="709" w:left="720" w:header="0" w:footer="0" w:gutter="0"/>
          <w:cols w:space="720"/>
          <w:docGrid w:linePitch="360"/>
        </w:sectPr>
      </w:pP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Приложение 1 к акту о результатах контроля 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об исполнении Концессионером мероприятий,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 предусмотренных Концессионным соглашением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Мониторинг показателей надежности, качества и энергетической эффективности объектов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теплоснабжения, централизованных </w:t>
      </w:r>
      <w:bookmarkStart w:id="1" w:name="_Hlk51786076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систем горячего водоснабжения, за </w:t>
      </w:r>
      <w:bookmarkEnd w:id="1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2023 год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</w:p>
    <w:tbl>
      <w:tblPr>
        <w:tblStyle w:val="21"/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10"/>
        <w:gridCol w:w="1442"/>
        <w:gridCol w:w="993"/>
        <w:gridCol w:w="993"/>
      </w:tblGrid>
      <w:tr>
        <w:trPr>
          <w:jc w:val="center"/>
          <w:trHeight w:val="898"/>
        </w:trPr>
        <w:tc>
          <w:tcPr>
            <w:tcW w:w="681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№ п/п</w:t>
            </w:r>
          </w:p>
        </w:tc>
        <w:tc>
          <w:tcPr>
            <w:tcW w:w="5810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показателя*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Ед.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измерения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План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Факт</w:t>
            </w:r>
          </w:p>
        </w:tc>
      </w:tr>
      <w:tr>
        <w:trPr>
          <w:jc w:val="center"/>
          <w:trHeight w:val="236"/>
        </w:trPr>
        <w:tc>
          <w:tcPr>
            <w:tcW w:w="7933" w:type="dxa"/>
            <w:gridSpan w:val="3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Теплоснабжение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  <w:trHeight w:val="171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7252" w:type="dxa"/>
            <w:gridSpan w:val="2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ед./км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0,5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0,011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1.2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ед./Гкал/ч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7252" w:type="dxa"/>
            <w:gridSpan w:val="2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удельный расход топлива (газа)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у.т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./ Гкал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152,98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154,08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удельный расход топлива (нефти)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у.т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./ Гкал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153,21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2.3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Гкал/м2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2,28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2,24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2.4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тыс.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322,48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357,62</w:t>
            </w:r>
          </w:p>
        </w:tc>
      </w:tr>
      <w:tr>
        <w:trPr>
          <w:jc w:val="center"/>
          <w:trHeight w:val="836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2.5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 % от отпуска в сеть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12,88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14,34</w:t>
            </w:r>
          </w:p>
        </w:tc>
      </w:tr>
      <w:tr>
        <w:trPr>
          <w:jc w:val="center"/>
        </w:trPr>
        <w:tc>
          <w:tcPr>
            <w:tcW w:w="7933" w:type="dxa"/>
            <w:gridSpan w:val="3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Горячее водоснабжение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7252" w:type="dxa"/>
            <w:gridSpan w:val="2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для централизованных систем горячего водоснабжения - количество перерывов в подаче воды, зафиксированных в местах исполнения обязательств организацией, осуществляющей горячее водоснабжение, 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 в расчете на протяженность водопроводной сети в год</w:t>
            </w:r>
          </w:p>
        </w:tc>
        <w:tc>
          <w:tcPr>
            <w:tcW w:w="1442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ед./км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0,73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0,14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качества</w:t>
            </w:r>
          </w:p>
        </w:tc>
        <w:tc>
          <w:tcPr>
            <w:tcW w:w="1442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0,10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0,00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0,00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0,106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энергетической эффективности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3.1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</w:t>
            </w:r>
          </w:p>
        </w:tc>
      </w:tr>
      <w:tr>
        <w:trPr>
          <w:jc w:val="center"/>
        </w:trPr>
        <w:tc>
          <w:tcPr>
            <w:tcW w:w="681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3.2</w:t>
            </w:r>
          </w:p>
        </w:tc>
        <w:tc>
          <w:tcPr>
            <w:tcW w:w="5810" w:type="dxa"/>
          </w:tcPr>
          <w:p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удельное количество тепловой энергии, расходуемое на подогрев горячей воды</w:t>
            </w:r>
          </w:p>
        </w:tc>
        <w:tc>
          <w:tcPr>
            <w:tcW w:w="144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Гкал/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м3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0,0803</w:t>
            </w:r>
          </w:p>
        </w:tc>
        <w:tc>
          <w:tcPr>
            <w:tcW w:w="99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0,0786</w:t>
            </w:r>
          </w:p>
        </w:tc>
      </w:tr>
    </w:tbl>
    <w:p>
      <w:pPr>
        <w:spacing w:after="0" w:line="240" w:lineRule="auto"/>
        <w:ind w:right="-142" w:firstLine="426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ind w:right="-142" w:firstLine="426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*Примечание: </w:t>
      </w:r>
      <w:r>
        <w:rPr>
          <w:rFonts w:ascii="Times New Roman" w:hAnsi="Times New Roman" w:eastAsia="Calibri" w:cs="Times New Roman"/>
          <w:sz w:val="20"/>
          <w:szCs w:val="20"/>
        </w:rPr>
        <w:t xml:space="preserve">значения рассчитываются в соответствии с постановлением Правительства Российской Федерации от 16.05.2014 № 452 «Об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 и о внесении изменения в постановление Правительства Российской Федерации от 15 мая 2010 г. № 340» и приказом Минстроя России от 04.04.2014 № 162/</w:t>
      </w:r>
      <w:r>
        <w:rPr>
          <w:rFonts w:ascii="Times New Roman" w:hAnsi="Times New Roman" w:eastAsia="Calibri" w:cs="Times New Roman"/>
          <w:sz w:val="20"/>
          <w:szCs w:val="20"/>
        </w:rPr>
        <w:t xml:space="preserve">пр</w:t>
      </w:r>
      <w:r>
        <w:rPr>
          <w:rFonts w:ascii="Times New Roman" w:hAnsi="Times New Roman" w:eastAsia="Calibri" w:cs="Times New Roman"/>
          <w:sz w:val="20"/>
          <w:szCs w:val="20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>
      <w:pPr>
        <w:spacing w:after="160" w:line="259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br w:type="page" w:clear="all"/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Приложение 2 к акту о результатах контроля 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об исполнении Концессионером мероприятий,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 предусмотренных Концессионным соглашением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Мониторинг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долгосрочных параметров регулирования деятельности Концессионера 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теплоснабжения, централизованных систем горячего водоснабжения, 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 2023 год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tbl>
      <w:tblPr>
        <w:tblStyle w:val="2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5699"/>
        <w:gridCol w:w="1423"/>
        <w:gridCol w:w="1417"/>
        <w:gridCol w:w="1413"/>
      </w:tblGrid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№ п/п</w:t>
            </w:r>
          </w:p>
        </w:tc>
        <w:tc>
          <w:tcPr>
            <w:tcW w:w="5699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показателя</w:t>
            </w:r>
          </w:p>
        </w:tc>
        <w:tc>
          <w:tcPr>
            <w:tcW w:w="1423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Ед.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измерения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План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  <w:lang w:eastAsia="ru-RU" w:bidi="he-IL"/>
              </w:rPr>
              <w:t xml:space="preserve">Факт (опера-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  <w:lang w:eastAsia="ru-RU" w:bidi="he-IL"/>
              </w:rPr>
              <w:t xml:space="preserve">тивные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  <w:lang w:eastAsia="ru-RU" w:bidi="he-IL"/>
              </w:rPr>
              <w:t xml:space="preserve"> данные по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  <w:lang w:eastAsia="ru-RU" w:bidi="he-IL"/>
              </w:rPr>
              <w:t xml:space="preserve">показате-лям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  <w:lang w:eastAsia="ru-RU" w:bidi="he-IL"/>
              </w:rPr>
              <w:t xml:space="preserve"> 1-5)</w:t>
            </w:r>
          </w:p>
        </w:tc>
      </w:tr>
      <w:tr>
        <w:trPr>
          <w:jc w:val="center"/>
        </w:trPr>
        <w:tc>
          <w:tcPr>
            <w:tcW w:w="10485" w:type="dxa"/>
            <w:gridSpan w:val="5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Теплоснабжение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5699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Базовый уровень операционных расходов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без НДС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1 181 983,07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5699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1,0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1,0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</w:t>
            </w:r>
          </w:p>
        </w:tc>
        <w:tc>
          <w:tcPr>
            <w:tcW w:w="5699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 руб. без НДС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158 523,47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3.1.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То же самое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4,13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4,13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4.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Сумма валовой выручки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без НДС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3 748 468,00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3 920 792,76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5.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Cs/>
                <w:iCs/>
                <w:sz w:val="20"/>
                <w:szCs w:val="20"/>
              </w:rPr>
              <w:t xml:space="preserve">Изменение суммы валовой выручки к предыдущему году</w:t>
            </w:r>
          </w:p>
        </w:tc>
        <w:tc>
          <w:tcPr>
            <w:tcW w:w="1423" w:type="dxa"/>
          </w:tcPr>
          <w:p>
            <w:pPr>
              <w:spacing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103,60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110,04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6.</w:t>
            </w:r>
          </w:p>
        </w:tc>
        <w:tc>
          <w:tcPr>
            <w:tcW w:w="5699" w:type="dxa"/>
          </w:tcPr>
          <w:p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Объем полезного отпуска тепловой энергии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тыс. Гкал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2 181,53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2 139,30</w:t>
            </w:r>
          </w:p>
        </w:tc>
      </w:tr>
      <w:tr>
        <w:trPr>
          <w:jc w:val="center"/>
        </w:trPr>
        <w:tc>
          <w:tcPr>
            <w:tcW w:w="10485" w:type="dxa"/>
            <w:gridSpan w:val="5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Горячее водоснабжение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5699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Базовый уровень операционных расходов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без НДС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5699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</w:t>
            </w:r>
          </w:p>
        </w:tc>
        <w:tc>
          <w:tcPr>
            <w:tcW w:w="5699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без НДС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3.1.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То же самое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4.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Сумма валовой выручки</w:t>
            </w:r>
          </w:p>
        </w:tc>
        <w:tc>
          <w:tcPr>
            <w:tcW w:w="142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без НДС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131 626,96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5.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Изменение суммы валовой выручки к предыдущему году</w:t>
            </w:r>
          </w:p>
        </w:tc>
        <w:tc>
          <w:tcPr>
            <w:tcW w:w="142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х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107,18</w:t>
            </w:r>
          </w:p>
        </w:tc>
      </w:tr>
      <w:tr>
        <w:trPr>
          <w:jc w:val="center"/>
        </w:trPr>
        <w:tc>
          <w:tcPr>
            <w:tcW w:w="53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6.</w:t>
            </w:r>
          </w:p>
        </w:tc>
        <w:tc>
          <w:tcPr>
            <w:tcW w:w="5699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отпуска воды</w:t>
            </w:r>
          </w:p>
        </w:tc>
        <w:tc>
          <w:tcPr>
            <w:tcW w:w="142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тыс. м3</w:t>
            </w:r>
          </w:p>
        </w:tc>
        <w:tc>
          <w:tcPr>
            <w:tcW w:w="1417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3 200,00</w:t>
            </w:r>
          </w:p>
        </w:tc>
        <w:tc>
          <w:tcPr>
            <w:tcW w:w="141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3 061,70</w:t>
            </w:r>
          </w:p>
        </w:tc>
      </w:tr>
    </w:tbl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</w:p>
    <w:p>
      <w:pPr>
        <w:spacing w:after="160" w:line="259" w:lineRule="auto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br w:type="page" w:clear="all"/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Приложение 3 к акту о результатах контроля 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об исполнении Концессионером мероприятий,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 предусмотренных Концессионным соглашением</w:t>
      </w:r>
    </w:p>
    <w:p>
      <w:pPr>
        <w:spacing w:after="0" w:line="240" w:lineRule="auto"/>
        <w:ind w:firstLine="709"/>
        <w:contextualSpacing/>
        <w:jc w:val="right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Мониторинг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финансирования мероприятий 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теплоснабжения, централизованных систем горячего водоснабжения,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за 2023 год</w:t>
      </w:r>
    </w:p>
    <w:p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tbl>
      <w:tblPr>
        <w:tblStyle w:val="2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89"/>
        <w:gridCol w:w="1303"/>
        <w:gridCol w:w="1276"/>
      </w:tblGrid>
      <w:tr>
        <w:trPr>
          <w:jc w:val="center"/>
          <w:trHeight w:val="481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№ п/п</w:t>
            </w:r>
          </w:p>
        </w:tc>
        <w:tc>
          <w:tcPr>
            <w:tcW w:w="708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мероприятия/источника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План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Факт</w:t>
            </w:r>
          </w:p>
        </w:tc>
      </w:tr>
      <w:tr>
        <w:trPr>
          <w:jc w:val="center"/>
          <w:trHeight w:val="563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Сведения о выполненных (не выполненных) работах в соответствии с Заданием по следующим объектам: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 руб. без НДС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 руб. без НДС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708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Строительство сетей теплоснабжения по ул. Северной от котельной квартала 5К до Восточного объезда (квартал 40-43)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1000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708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Строительство сетей теплоснабжения по ул. Героев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Самотлора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 от котельной квартала 5К до Восточного объезда (квартал 40-43)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1000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Строительство газовой котельной в квартале В-5 г. Нижневартовска.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15 878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15 744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Реконструкция котельной №3А </w:t>
            </w:r>
          </w:p>
        </w:tc>
        <w:tc>
          <w:tcPr>
            <w:tcW w:w="1303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57 583</w:t>
            </w:r>
          </w:p>
        </w:tc>
        <w:tc>
          <w:tcPr>
            <w:tcW w:w="1276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45 500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Модернизация (техническое перевооружение) тепловых сетей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90 617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142 936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Реконструкция котельной №5 </w:t>
            </w:r>
          </w:p>
        </w:tc>
        <w:tc>
          <w:tcPr>
            <w:tcW w:w="1303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71 311</w:t>
            </w:r>
          </w:p>
        </w:tc>
        <w:tc>
          <w:tcPr>
            <w:tcW w:w="1276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68 080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Реконструкция котельной №8</w:t>
            </w:r>
          </w:p>
        </w:tc>
        <w:tc>
          <w:tcPr>
            <w:tcW w:w="1303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11 987</w:t>
            </w:r>
          </w:p>
        </w:tc>
        <w:tc>
          <w:tcPr>
            <w:tcW w:w="1276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7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Модернизация (техническое перевооружение) ЦТП </w:t>
            </w:r>
          </w:p>
        </w:tc>
        <w:tc>
          <w:tcPr>
            <w:tcW w:w="130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12 500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4 315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Модернизация (техническое перевооружение) сетей горячего водоснабжения</w:t>
            </w:r>
          </w:p>
        </w:tc>
        <w:tc>
          <w:tcPr>
            <w:tcW w:w="1303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25 424</w:t>
            </w:r>
          </w:p>
        </w:tc>
        <w:tc>
          <w:tcPr>
            <w:tcW w:w="1276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25 488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9</w:t>
            </w:r>
            <w:bookmarkStart w:id="2" w:name="_GoBack"/>
            <w:bookmarkEnd w:id="2"/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Реконструкция тепловых, подмешивающих станций</w:t>
            </w:r>
          </w:p>
        </w:tc>
        <w:tc>
          <w:tcPr>
            <w:tcW w:w="1303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38 972</w:t>
            </w:r>
          </w:p>
        </w:tc>
        <w:tc>
          <w:tcPr>
            <w:tcW w:w="1276" w:type="dxa"/>
            <w:tcBorders>
              <w:top w:val="none"/>
              <w:left w:val="none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24 579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Итого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326 272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326 642</w:t>
            </w:r>
          </w:p>
        </w:tc>
      </w:tr>
      <w:tr>
        <w:trPr>
          <w:jc w:val="center"/>
        </w:trPr>
        <w:tc>
          <w:tcPr>
            <w:tcW w:w="10342" w:type="dxa"/>
            <w:gridSpan w:val="4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В разрезе сфер: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Теплоснабжение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Предельный размер расходов Концессионера на создание и реконструкцию Объектов,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тыс.руб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. без НДС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300 848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301 153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Концедента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 на создание и реконструкцию Объектов,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тыс.руб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. (НДС не облагается)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</w:t>
            </w:r>
          </w:p>
        </w:tc>
        <w:tc>
          <w:tcPr>
            <w:tcW w:w="7088" w:type="dxa"/>
          </w:tcPr>
          <w:p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Концедента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 на использование (эксплуатацию) Объекта соглашения,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тыс.руб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. (НДС не облагается)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  <w:trHeight w:val="276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Горячее водоснабжение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</w:t>
            </w:r>
          </w:p>
        </w:tc>
        <w:tc>
          <w:tcPr>
            <w:tcW w:w="708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Предельный размер расходов Концессионера на создание и реконструкцию Объектов,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тыс.руб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. без НДС 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25 424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25 488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</w:t>
            </w:r>
          </w:p>
        </w:tc>
        <w:tc>
          <w:tcPr>
            <w:tcW w:w="708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Концедента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 на создание и реконструкцию Объектов,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тыс.руб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. (НДС не облагается)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67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</w:t>
            </w:r>
          </w:p>
        </w:tc>
        <w:tc>
          <w:tcPr>
            <w:tcW w:w="708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Концедента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 на использование (эксплуатацию) Объекта соглашения,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тыс.руб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. (НДС не облагается)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7763" w:type="dxa"/>
            <w:gridSpan w:val="2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Итого</w:t>
            </w:r>
          </w:p>
        </w:tc>
        <w:tc>
          <w:tcPr>
            <w:tcW w:w="130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326 272</w:t>
            </w:r>
          </w:p>
        </w:tc>
        <w:tc>
          <w:tcPr>
            <w:tcW w:w="1276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326 642</w:t>
            </w:r>
          </w:p>
        </w:tc>
      </w:tr>
    </w:tbl>
    <w:p>
      <w:pPr>
        <w:pStyle w:val="ab"/>
        <w:spacing w:beforeAutospacing="0" w:after="0" w:afterAutospacing="0"/>
        <w:ind w:firstLine="709"/>
        <w:contextualSpacing/>
        <w:jc w:val="right"/>
      </w:pPr>
    </w:p>
    <w:sectPr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Unicode MS">
    <w:panose1 w:val="020B0604020202020204"/>
  </w:font>
  <w:font w:name="Times New Roman">
    <w:panose1 w:val="02020603050405020304"/>
  </w:font>
  <w:font w:name="Courier New">
    <w:panose1 w:val="02070309020205020404"/>
  </w:font>
  <w:font w:name="Droid Sans Devanagari">
    <w:panose1 w:val="020B0606030804020204"/>
  </w:font>
  <w:font w:name="Tahoma">
    <w:panose1 w:val="020B0604030504040204"/>
  </w:font>
  <w:font w:name="Liberation Sans">
    <w:panose1 w:val="020B0604020202020204"/>
  </w:font>
  <w:font w:name="Segoe UI">
    <w:panose1 w:val="020B050204050402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10" w:customStyle="1">
    <w:name w:val="Заголовок 1 Знак"/>
    <w:basedOn w:val="a0"/>
    <w:link w:val="1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4" w:customStyle="1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ab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1">
    <w:name w:val="Формат таблиц для диплома21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</a:majorFont>
      <a:minorFont>
        <a:latin typeface="Calibri" panose="020F0502020204030204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B035-05D0-4ED2-A9AD-AE3D45EC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15036</Characters>
  <CharactersWithSpaces>17638</CharactersWithSpaces>
  <Company>UTSNV</Company>
  <DocSecurity>0</DocSecurity>
  <HyperlinksChanged>false</HyperlinksChanged>
  <Lines>125</Lines>
  <LinksUpToDate>false</LinksUpToDate>
  <Pages>12</Pages>
  <Paragraphs>35</Paragraphs>
  <ScaleCrop>false</ScaleCrop>
  <SharedDoc>false</SharedDoc>
  <Template>Normal</Template>
  <TotalTime>6</TotalTime>
  <Words>2637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Агаркова Айгуль Ураловна</dc:creator>
  <dc:description/>
  <dc:language>ru-RU</dc:language>
  <cp:lastModifiedBy>Агаркова Айгуль Ураловна</cp:lastModifiedBy>
  <cp:revision>3</cp:revision>
  <cp:lastPrinted>2023-03-28T11:53:00Z</cp:lastPrinted>
  <dcterms:created xsi:type="dcterms:W3CDTF">2024-05-24T05:04:00Z</dcterms:created>
  <dcterms:modified xsi:type="dcterms:W3CDTF">2024-05-30T05:07:00Z</dcterms:modified>
</cp:coreProperties>
</file>