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2"/>
        <w:tblW w:w="96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26 мая 2022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Кощенко Дмитрий Александрович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Глава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 xml:space="preserve">, председатель Проектного комитета 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Члены Проектного комитета: 10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Приглашенные: 3 человека.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1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327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jc w:val="both"/>
        <w:rPr/>
      </w:pPr>
      <w:r>
        <w:rPr>
          <w:sz w:val="28"/>
          <w:szCs w:val="28"/>
        </w:rPr>
        <w:t xml:space="preserve">1. </w:t>
      </w:r>
      <w:r>
        <w:rPr>
          <w:b w:val="false"/>
          <w:bCs w:val="false"/>
          <w:sz w:val="28"/>
          <w:szCs w:val="28"/>
        </w:rPr>
        <w:t>О рассмотрении проектной инициативы «Центр лыжного спорта со специализированным биатлонным стрельбищем (Лыжно-биатлонный комплекс)».</w:t>
      </w:r>
    </w:p>
    <w:p>
      <w:pPr>
        <w:pStyle w:val="Normal"/>
        <w:widowControl/>
        <w:tabs>
          <w:tab w:val="clear" w:pos="327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jc w:val="both"/>
        <w:rPr/>
      </w:pPr>
      <w:r>
        <w:rPr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widowControl/>
        <w:tabs>
          <w:tab w:val="clear" w:pos="327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jc w:val="both"/>
        <w:rPr/>
      </w:pPr>
      <w:r>
        <w:rPr>
          <w:sz w:val="28"/>
          <w:szCs w:val="28"/>
        </w:rPr>
        <w:tab/>
        <w:t>3. Об исполнении решений Проектного комитета.</w:t>
      </w:r>
    </w:p>
    <w:p>
      <w:pPr>
        <w:pStyle w:val="Normal"/>
        <w:widowControl/>
        <w:tabs>
          <w:tab w:val="clear" w:pos="327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327"/>
          <w:tab w:val="left" w:pos="708" w:leader="none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24"/>
        <w:jc w:val="both"/>
        <w:rPr/>
      </w:pP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О рассмотрении проектной инициативы "Центр лыжного спорта со специализированным биатлонным стрельбищем (Лыжно-биатлонный комплекс)".</w:t>
      </w:r>
    </w:p>
    <w:p>
      <w:pPr>
        <w:pStyle w:val="Normal"/>
        <w:tabs>
          <w:tab w:val="clear" w:pos="327"/>
          <w:tab w:val="left" w:pos="284" w:leader="none"/>
        </w:tabs>
        <w:spacing w:lineRule="auto" w:line="312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(Силецкий</w:t>
      </w:r>
      <w:r>
        <w:rPr>
          <w:rFonts w:eastAsia="Calibri"/>
          <w:b w:val="false"/>
          <w:bCs w:val="false"/>
          <w:sz w:val="28"/>
          <w:szCs w:val="28"/>
        </w:rPr>
        <w:t>)</w:t>
      </w:r>
    </w:p>
    <w:p>
      <w:pPr>
        <w:pStyle w:val="Normal"/>
        <w:tabs>
          <w:tab w:val="clear" w:pos="327"/>
          <w:tab w:val="left" w:pos="284" w:leader="none"/>
        </w:tabs>
        <w:spacing w:lineRule="auto" w:line="31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tabs>
          <w:tab w:val="clear" w:pos="327"/>
          <w:tab w:val="left" w:pos="708" w:leader="none"/>
          <w:tab w:val="left" w:pos="709" w:leader="none"/>
        </w:tabs>
        <w:spacing w:lineRule="auto" w:line="312"/>
        <w:jc w:val="both"/>
        <w:rPr/>
      </w:pPr>
      <w:r>
        <w:rPr>
          <w:b/>
          <w:sz w:val="28"/>
          <w:szCs w:val="28"/>
        </w:rPr>
        <w:tab/>
        <w:t>РЕШИЛИ: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1.1. Принять проектную инициативу "</w:t>
      </w:r>
      <w:r>
        <w:rPr>
          <w:rFonts w:eastAsia="Calibri"/>
          <w:b w:val="false"/>
          <w:bCs w:val="false"/>
          <w:sz w:val="28"/>
          <w:szCs w:val="28"/>
        </w:rPr>
        <w:t>Центр лыжного спорта со специализированным биатлонным стрельбищем (Лыжно-биатлонный комплекс)"</w:t>
      </w:r>
      <w:r>
        <w:rPr>
          <w:sz w:val="28"/>
          <w:szCs w:val="28"/>
        </w:rPr>
        <w:t xml:space="preserve"> и решение о запуске проекта (Приложение 2 к протоколу).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Назначить куратором проекта заместителя главы города, директора департамента строительства администрации города Ситникова Виктора Петровича,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руководителем проекта </w:t>
      </w:r>
      <w:r>
        <w:rPr>
          <w:rFonts w:eastAsia="Calibri"/>
          <w:sz w:val="28"/>
          <w:szCs w:val="28"/>
        </w:rPr>
        <w:t>"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Центр лыжного спорта со специализированным биатлонным стрельбищем (Лыжно-биатлонный комплекс)</w:t>
      </w:r>
      <w:r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 xml:space="preserve"> директора муниципального казенного учреждения "Управление капитального строительства города Нижневартовска" Силецкого Ивана Петровича. </w:t>
      </w:r>
    </w:p>
    <w:p>
      <w:pPr>
        <w:pStyle w:val="Normal"/>
        <w:widowControl/>
        <w:tabs>
          <w:tab w:val="clear" w:pos="327"/>
          <w:tab w:val="left" w:pos="708" w:leader="none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1.3. Руководителю проекта разработать, согласовать и утвердить управленческие документы по принятой проектной инициативе в порядке, установленном регламентом управления проектом.</w:t>
      </w:r>
    </w:p>
    <w:p>
      <w:pPr>
        <w:pStyle w:val="Normal"/>
        <w:widowControl/>
        <w:tabs>
          <w:tab w:val="clear" w:pos="327"/>
          <w:tab w:val="left" w:pos="708" w:leader="none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327"/>
          <w:tab w:val="left" w:pos="708" w:leader="none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jc w:val="both"/>
        <w:rPr/>
      </w:pPr>
      <w:r>
        <w:rPr>
          <w:b/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327"/>
          <w:tab w:val="left" w:pos="284" w:leader="none"/>
        </w:tabs>
        <w:spacing w:lineRule="auto" w:line="312"/>
        <w:jc w:val="center"/>
        <w:rPr/>
      </w:pPr>
      <w:r>
        <w:rPr>
          <w:sz w:val="28"/>
          <w:szCs w:val="28"/>
        </w:rPr>
        <w:t xml:space="preserve">(Попович, Воликовская,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Сериков</w:t>
      </w:r>
      <w:r>
        <w:rPr>
          <w:sz w:val="28"/>
          <w:szCs w:val="28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Антонова</w:t>
      </w:r>
      <w:r>
        <w:rPr>
          <w:sz w:val="28"/>
          <w:szCs w:val="28"/>
        </w:rPr>
        <w:t>, По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пенко</w:t>
      </w:r>
      <w:r>
        <w:rPr>
          <w:sz w:val="28"/>
          <w:szCs w:val="28"/>
        </w:rPr>
        <w:t>, Котов, Силецкий</w:t>
      </w:r>
      <w:r>
        <w:rPr>
          <w:rFonts w:eastAsia="Calibri"/>
          <w:b/>
          <w:sz w:val="28"/>
          <w:szCs w:val="28"/>
        </w:rPr>
        <w:t>)</w:t>
      </w:r>
    </w:p>
    <w:p>
      <w:pPr>
        <w:pStyle w:val="Normal"/>
        <w:spacing w:lineRule="auto" w:line="312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312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/>
      </w:pPr>
      <w:r>
        <w:rPr>
          <w:sz w:val="28"/>
          <w:szCs w:val="28"/>
        </w:rPr>
        <w:t>2.1. Информацию о ходе реализации муниципального проекта "Организация и проведение XLV фестиваля искусств, труда и спорта "Самотлорские ночи - 2022""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/>
      </w:pPr>
      <w:r>
        <w:rPr>
          <w:sz w:val="28"/>
          <w:szCs w:val="28"/>
        </w:rPr>
        <w:t>2.2. Информацию о ходе реализации муниципального проекта "Безопасные и качественные автомобильные дороги Нижневартовской городской агломерации" принять к сведению.</w:t>
      </w:r>
    </w:p>
    <w:p>
      <w:pPr>
        <w:pStyle w:val="Normal"/>
        <w:spacing w:lineRule="auto" w:line="312"/>
        <w:ind w:firstLine="709"/>
        <w:jc w:val="both"/>
        <w:rPr/>
      </w:pPr>
      <w:r>
        <w:rPr>
          <w:sz w:val="28"/>
          <w:szCs w:val="28"/>
        </w:rPr>
        <w:t>2.3. 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принять к сведению.</w:t>
      </w:r>
    </w:p>
    <w:p>
      <w:pPr>
        <w:pStyle w:val="Normal"/>
        <w:spacing w:lineRule="auto" w:line="312"/>
        <w:ind w:firstLine="709"/>
        <w:jc w:val="both"/>
        <w:rPr/>
      </w:pPr>
      <w:r>
        <w:rPr>
          <w:sz w:val="28"/>
          <w:szCs w:val="28"/>
        </w:rPr>
        <w:t>2.4.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 и "Детский сад на 320 мест в квартале 21 (стр.№6) г. Нижневартовска"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>
          <w:rFonts w:ascii="Times New Roman" w:hAnsi="Times New Roman" w:eastAsia="Arial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Arial" w:cs="Times New Roman"/>
          <w:color w:val="000000"/>
          <w:kern w:val="0"/>
          <w:sz w:val="28"/>
          <w:szCs w:val="28"/>
          <w:lang w:val="ru-RU" w:eastAsia="ru-RU" w:bidi="ar-SA"/>
        </w:rPr>
        <w:t>2.5. Информацию о ходе реализации муниципальных проектов "Обустройство экотропы в квартале 35 городских лесов города Нижневартовска" и "Муниципальный питомник растений в городе Нижневартовске"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/>
      </w:pPr>
      <w:r>
        <w:rPr>
          <w:rFonts w:eastAsia="Arial" w:cs="Times New Roman"/>
          <w:color w:val="000000"/>
          <w:kern w:val="0"/>
          <w:sz w:val="28"/>
          <w:szCs w:val="28"/>
          <w:lang w:val="ru-RU" w:eastAsia="ru-RU" w:bidi="ar-SA"/>
        </w:rPr>
        <w:t>2.5.1. Руководителю проекта "Обустройство экотропы в квартале 35 городских лесов города Нижневартовска" актуализировать календарный план проекта в части контрольной точки - "заключен договор на электроснабжение вагон - дома, вагон — бытовки".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>
          <w:rFonts w:ascii="Times New Roman" w:hAnsi="Times New Roman" w:eastAsia="Arial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2.5.</w:t>
      </w: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</w:t>
      </w: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. Руководителю проекта "Муни</w:t>
      </w:r>
      <w:r>
        <w:rPr>
          <w:rFonts w:eastAsia="Arial" w:cs="Times New Roman"/>
          <w:color w:val="000000"/>
          <w:kern w:val="0"/>
          <w:sz w:val="28"/>
          <w:szCs w:val="28"/>
          <w:lang w:val="ru-RU" w:eastAsia="ru-RU" w:bidi="ar-SA"/>
        </w:rPr>
        <w:t>ципальный питомник растений в городе Нижневартовске" (Попенко О.А.) совместно с МКУ "Управление капитального строительства города Нижневартовска" (Силецкий И.П.)  направить в установленном порядке предложение по перераспределению лимитов</w:t>
      </w: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бюджетных обязательств с целью финансирования проекта (подготовительные работы).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>
          <w:rFonts w:ascii="Times New Roman" w:hAnsi="Times New Roman"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Срок: до 15.06.2022.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>
          <w:rFonts w:ascii="Times New Roman" w:hAnsi="Times New Roman"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2.5.</w:t>
      </w: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</w:t>
      </w: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. Управлению по природопользованию и экологии (Попенко О.А.) провести анализ проекта "Муниципальный питомник растений в городе Нижневарто</w:t>
      </w: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вске" и предоставить </w:t>
      </w: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</w:t>
      </w: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роектному комитету финансово-экономическую целесообразность его реализации.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>
          <w:rFonts w:ascii="Times New Roman" w:hAnsi="Times New Roman"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Срок: до 30.07.2022.</w:t>
      </w:r>
    </w:p>
    <w:p>
      <w:pPr>
        <w:pStyle w:val="ConsPlusNormal"/>
        <w:spacing w:lineRule="auto" w:line="312"/>
        <w:ind w:firstLine="709"/>
        <w:jc w:val="both"/>
        <w:rPr>
          <w:sz w:val="28"/>
        </w:rPr>
      </w:pPr>
      <w:r>
        <w:rPr>
          <w:sz w:val="28"/>
          <w:szCs w:val="28"/>
          <w:shd w:fill="auto" w:val="clear"/>
        </w:rPr>
        <w:t>2.6. Информацию о ходе реализации муниципальных проектов "Бульвар на набережной в створе ули</w:t>
      </w:r>
      <w:r>
        <w:rPr>
          <w:sz w:val="28"/>
          <w:szCs w:val="28"/>
        </w:rPr>
        <w:t xml:space="preserve">ц Чапаева – Ханты-Мансийской в г. Нижневартовске </w:t>
      </w:r>
      <w:r>
        <w:rPr>
          <w:color w:val="000000"/>
          <w:sz w:val="28"/>
          <w:szCs w:val="28"/>
        </w:rPr>
        <w:t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Северной","</w:t>
      </w:r>
      <w:r>
        <w:rPr>
          <w:sz w:val="28"/>
          <w:szCs w:val="28"/>
        </w:rPr>
        <w:t>Улица Московкина от улицы Героев Самотлора до улицы Салманова г.Нижневартовск</w:t>
      </w:r>
      <w:r>
        <w:rPr>
          <w:color w:val="000000"/>
          <w:sz w:val="28"/>
          <w:szCs w:val="28"/>
        </w:rPr>
        <w:t>", "</w:t>
      </w:r>
      <w:r>
        <w:rPr>
          <w:sz w:val="28"/>
          <w:lang w:eastAsia="en-US"/>
        </w:rPr>
        <w:t xml:space="preserve">Строительство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Улица Нововартовская от улицы Героев Самотлора до улицы Летней г.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(2 этап)</w:t>
      </w:r>
      <w:r>
        <w:rPr>
          <w:color w:val="000000"/>
          <w:sz w:val="28"/>
          <w:szCs w:val="28"/>
        </w:rPr>
        <w:t>" и "</w:t>
      </w:r>
      <w:r>
        <w:rPr>
          <w:sz w:val="28"/>
          <w:lang w:eastAsia="en-US"/>
        </w:rPr>
        <w:t xml:space="preserve">Благоустройство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Сквер железнодорожников в 10 мкр. города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</w:t>
      </w:r>
      <w:r>
        <w:rPr>
          <w:sz w:val="28"/>
          <w:szCs w:val="28"/>
        </w:rPr>
        <w:t>принять к сведению.</w:t>
      </w:r>
    </w:p>
    <w:p>
      <w:pPr>
        <w:pStyle w:val="Normal"/>
        <w:tabs>
          <w:tab w:val="clear" w:pos="327"/>
          <w:tab w:val="left" w:pos="709" w:leader="none"/>
        </w:tabs>
        <w:spacing w:lineRule="auto" w:line="312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>3. Об исполнении решений Проектного комитета.</w:t>
      </w:r>
    </w:p>
    <w:p>
      <w:pPr>
        <w:pStyle w:val="Normal"/>
        <w:tabs>
          <w:tab w:val="clear" w:pos="327"/>
          <w:tab w:val="left" w:pos="284" w:leader="none"/>
        </w:tabs>
        <w:spacing w:lineRule="auto" w:line="312"/>
        <w:jc w:val="center"/>
        <w:rPr>
          <w:sz w:val="28"/>
          <w:szCs w:val="28"/>
        </w:rPr>
      </w:pPr>
      <w:r>
        <w:rPr>
          <w:sz w:val="28"/>
          <w:szCs w:val="28"/>
        </w:rPr>
        <w:t>(Попович)</w:t>
      </w:r>
    </w:p>
    <w:p>
      <w:pPr>
        <w:pStyle w:val="ListParagraph"/>
        <w:tabs>
          <w:tab w:val="clear" w:pos="327"/>
          <w:tab w:val="left" w:pos="993" w:leader="none"/>
        </w:tabs>
        <w:spacing w:lineRule="auto" w:line="312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327"/>
          <w:tab w:val="left" w:pos="993" w:leader="none"/>
        </w:tabs>
        <w:spacing w:lineRule="auto" w:line="312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312"/>
        <w:ind w:firstLine="709"/>
        <w:jc w:val="both"/>
        <w:rPr>
          <w:rFonts w:ascii="Times New Roman" w:hAnsi="Times New Roman"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</w:pP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 xml:space="preserve">3.1. Считать исполненным и снять с контроля поручение, предусмотренное пунктом 2.1. протокола заседания Проектного комитета от 22.04.2022 №4. </w:t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2"/>
        <w:tblW w:w="92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9"/>
        <w:gridCol w:w="4422"/>
      </w:tblGrid>
      <w:tr>
        <w:trPr>
          <w:trHeight w:val="985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Г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лава города,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председатель Проектного комитета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Д.А. Кощенко</w:t>
            </w:r>
          </w:p>
        </w:tc>
      </w:tr>
      <w:tr>
        <w:trPr>
          <w:trHeight w:val="982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СОГЛАСОВАНО:</w:t>
            </w:r>
          </w:p>
          <w:p>
            <w:pPr>
              <w:pStyle w:val="Normal"/>
              <w:widowControl w:val="fals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 строительства,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Попович Наталья Александровна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29-12-25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327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26.05.2022 №5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2"/>
        <w:tblW w:w="96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26 мая 2022 года        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2"/>
              <w:tblW w:w="95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cs="Times New Roman"/>
                      <w:kern w:val="0"/>
                      <w:lang w:val="ru-RU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главы города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2.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3.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Ирина Олеговна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города, директор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4. </w:t>
                  </w:r>
                  <w:r>
                    <w:rPr>
                      <w:rFonts w:eastAsia="Droid Sans Fallback" w:cs="Times New Roman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Селиванова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rFonts w:ascii="Tinos" w:hAnsi="Tinos"/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Светлана     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Владимировна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заместитель главы города, директор департамента общественных коммуникаций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bCs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5. </w:t>
                  </w:r>
                  <w:r>
                    <w:rPr>
                      <w:rFonts w:eastAsia="Tinos" w:cs="Tinos" w:ascii="Tinos" w:hAnsi="Tinos"/>
                      <w:color w:val="auto"/>
                      <w:kern w:val="0"/>
                      <w:sz w:val="28"/>
                      <w:szCs w:val="24"/>
                      <w:lang w:val="ru-RU" w:eastAsia="ru-RU" w:bidi="ar-SA"/>
                    </w:rPr>
                    <w:t>Попенко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auto"/>
                      <w:kern w:val="0"/>
                      <w:sz w:val="28"/>
                      <w:szCs w:val="24"/>
                      <w:lang w:val="ru-RU" w:eastAsia="ru-RU" w:bidi="ar-SA"/>
                    </w:rPr>
                    <w:t>Олег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auto"/>
                      <w:kern w:val="0"/>
                      <w:sz w:val="28"/>
                      <w:szCs w:val="24"/>
                      <w:lang w:val="ru-RU" w:eastAsia="ru-RU" w:bidi="ar-SA"/>
                    </w:rPr>
                    <w:t>Александрович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исполняющий обязанности заместител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я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главы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6.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Сериков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bookmarkStart w:id="2" w:name="fio_4012561"/>
                  <w:bookmarkEnd w:id="2"/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Сергей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Евгеньевич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zh-CN" w:bidi="hi-IN"/>
                    </w:rPr>
                    <w:t xml:space="preserve">7. Мурашко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8. 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Антонова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Наталья Юрьевна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исполняющий обязанности заместителя главы города, директора департамента муниципальной собственности и земельных ресурсов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9.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Крутовцов 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10. Морозова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Наталья Владимировна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11.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Князева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Светлана Геннадьевна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- исполняющий обязанности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12. Котов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директора 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13. 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8" w:right="741" w:header="1275" w:top="1834" w:footer="923" w:bottom="9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327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Верхний колонтитул Знак2"/>
    <w:basedOn w:val="DefaultParagraphFont"/>
    <w:link w:val="a3"/>
    <w:uiPriority w:val="9"/>
    <w:qFormat/>
    <w:rPr>
      <w:rFonts w:ascii="Arial" w:hAnsi="Arial" w:eastAsia="Arial" w:cs="Arial"/>
      <w:sz w:val="40"/>
      <w:szCs w:val="40"/>
    </w:rPr>
  </w:style>
  <w:style w:type="character" w:styleId="2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3" w:customStyle="1">
    <w:name w:val="Цитата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link w:val="20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5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2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5B6CC33-6970-4BD1-B1F2-4B7BDFFBF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5326</TotalTime>
  <Application>LibreOffice/7.0.6.2$Linux_X86_64 LibreOffice_project/00$Build-2</Application>
  <AppVersion>15.0000</AppVersion>
  <Pages>6</Pages>
  <Words>810</Words>
  <Characters>6300</Characters>
  <CharactersWithSpaces>7271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2022-05-27T10:39:27Z</cp:lastPrinted>
  <dcterms:modified xsi:type="dcterms:W3CDTF">2022-05-30T09:29:28Z</dcterms:modified>
  <cp:revision>15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