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4100" w:after="0" w:line="240" w:lineRule="auto"/>
        <w:ind w:left="0" w:right="0" w:firstLine="0"/>
        <w:jc w:val="center"/>
        <w:rPr>
          <w:sz w:val="44"/>
          <w:szCs w:val="44"/>
        </w:rPr>
      </w:pPr>
      <w:r>
        <w:rPr>
          <w:rStyle w:val="CharStyle6"/>
          <w:b/>
          <w:bCs/>
        </w:rPr>
        <w:t>Ежеквартальный публичный</w:t>
        <w:br/>
      </w:r>
      <w:r>
        <w:rPr>
          <w:rStyle w:val="CharStyle6"/>
          <w:b/>
          <w:bCs/>
          <w:sz w:val="44"/>
          <w:szCs w:val="44"/>
        </w:rPr>
        <w:t>ОТЧЁТ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460" w:line="240" w:lineRule="auto"/>
        <w:ind w:left="0" w:right="0" w:firstLine="0"/>
        <w:jc w:val="center"/>
      </w:pPr>
      <w:r>
        <w:rPr>
          <w:rStyle w:val="CharStyle6"/>
          <w:b/>
          <w:bCs/>
        </w:rPr>
        <w:t>о работе общественного совета</w:t>
        <w:br/>
        <w:t>г. Нижневартовска по вопросам ЖКХ</w:t>
        <w:br/>
        <w:t>за 2-ой квартал 2023 г.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</w:rPr>
        <w:t>г. Нижневартовск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</w:rPr>
        <w:t>2023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rStyle w:val="CharStyle3"/>
          <w:b/>
          <w:bCs/>
        </w:rPr>
        <w:t>Основные направления работы общественного совета</w:t>
        <w:br/>
        <w:t>города Нижневартовска по вопросам ЖКХ.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00" w:right="0" w:firstLine="160"/>
        <w:jc w:val="left"/>
      </w:pPr>
      <w:r>
        <w:rPr>
          <w:rStyle w:val="CharStyle3"/>
        </w:rPr>
        <w:t>1. Члены общественного совета города по вопросам ЖКХ приняли участие в работе следующих комиссий: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00" w:right="0" w:hanging="400"/>
        <w:jc w:val="left"/>
      </w:pPr>
      <w:r>
        <w:rPr>
          <w:rStyle w:val="CharStyle3"/>
          <w:b/>
          <w:bCs/>
        </w:rPr>
        <w:t>— Рабочая комиссия по контролю за состоянием и эксплуатацией городских дорог</w:t>
      </w:r>
      <w:r>
        <w:rPr>
          <w:rStyle w:val="CharStyle3"/>
        </w:rPr>
        <w:t>, в том числе по жалобе жителя ул. Первомайская, дом 85 в Старом Вартовске на затопляемость участка дороги.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00" w:right="0" w:firstLine="0"/>
        <w:jc w:val="left"/>
      </w:pPr>
      <w:r>
        <w:rPr>
          <w:rStyle w:val="CharStyle3"/>
        </w:rPr>
        <w:t>Кроме того, был осмотрен участок дороги РЭБ флота (СОТы), где требуется отсыпка и шлифовка дороги.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00" w:right="0" w:firstLine="0"/>
        <w:jc w:val="left"/>
      </w:pPr>
      <w:r>
        <w:rPr>
          <w:rStyle w:val="CharStyle3"/>
        </w:rPr>
        <w:t>В рабочей поездке принял участие зам. председателя общественного совета города Нижневартовска по вопросам ЖКХ - Униковский А. 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00" w:right="0" w:hanging="40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  <w:b/>
          <w:bCs/>
        </w:rPr>
        <w:t xml:space="preserve">Постоянно действующая комиссия по рассмотрению заявок на предоставление субсидий из бюджета города Нижневартовска </w:t>
      </w:r>
      <w:r>
        <w:rPr>
          <w:rStyle w:val="CharStyle3"/>
        </w:rPr>
        <w:t>в целях финансового обеспечения затрат по благоустройству территорий, прилегающих к многоквартирным домам. Лимиты бюджетных обязательств на 2023год составляют 65 млн. рублей. Получателями субсидий на благоустройство территорий из бюджета города стали МКД №9, 11 по улице Пионерской, благоустройство которых с 2018 г. по настоящее время не выполнялось. Размер субсидий из бюджета города составляет 7 043 433,00 рублей.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00" w:right="0" w:firstLine="0"/>
        <w:jc w:val="left"/>
      </w:pPr>
      <w:r>
        <w:rPr>
          <w:rStyle w:val="CharStyle3"/>
        </w:rPr>
        <w:t>В 2023году планируется благоустроить за счёт субсидий из бюджета города прилегающие территории: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Style w:val="CharStyle3"/>
        </w:rPr>
        <w:t>1.Ул.60 лет Октября, д.3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Style w:val="CharStyle3"/>
        </w:rPr>
        <w:t>2.Ул.Менделеева, д.2а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Style w:val="CharStyle3"/>
        </w:rPr>
        <w:t>3.Ул.Менделеева, д.66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Style w:val="CharStyle3"/>
        </w:rPr>
        <w:t>4.Ул.Ленина д.17,17/1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Style w:val="CharStyle3"/>
        </w:rPr>
        <w:t>5.Ул.Ленина д.17/2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Style w:val="CharStyle3"/>
        </w:rPr>
        <w:t>6.Пр.Заозёрный, д.16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rStyle w:val="CharStyle3"/>
        </w:rPr>
        <w:t>7.Ул.Пионерская, д.9,11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00" w:right="0" w:firstLine="0"/>
        <w:jc w:val="left"/>
      </w:pPr>
      <w:r>
        <w:rPr>
          <w:rStyle w:val="CharStyle3"/>
        </w:rPr>
        <w:t>В работе рабочей комиссии приняла участие член общественного совета города Нижневартовска по вопросам ЖКХ - Ермолаева Н. 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  <w:b/>
          <w:bCs/>
        </w:rPr>
        <w:t>Комиссия по противопожарной безопасности.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400" w:right="0" w:firstLine="0"/>
        <w:jc w:val="left"/>
      </w:pPr>
      <w:r>
        <w:rPr>
          <w:rStyle w:val="CharStyle3"/>
        </w:rPr>
        <w:t>Профилактические рейдовые мероприятия по соблюдению мер противопожарной безопасности на подведомственном жилом фонде с участием общественности, прессы и жителей города продолжатся с 30 июня по 30 сентября 2023 г. в рамках заключённого концессионного соглашения, в том числе по использованию газовых баллонов в многоквартирных домах.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280"/>
        <w:jc w:val="left"/>
      </w:pPr>
      <w:r>
        <w:rPr>
          <w:rStyle w:val="CharStyle3"/>
          <w:b/>
          <w:bCs/>
        </w:rPr>
        <w:t>— Комиссия по отбору инвестиционных проектов капитального строительства в городе Нижневартовске.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firstLine="0"/>
        <w:jc w:val="left"/>
      </w:pPr>
      <w:r>
        <w:rPr>
          <w:rStyle w:val="CharStyle3"/>
        </w:rPr>
        <w:t xml:space="preserve">О внесении изменений в Перечень объектов капитального строительства (реконструкции) по муниципальной программе: </w:t>
      </w:r>
      <w:r>
        <w:rPr>
          <w:rStyle w:val="CharStyle3"/>
          <w:rFonts w:ascii="Arial" w:eastAsia="Arial" w:hAnsi="Arial" w:cs="Arial"/>
          <w:sz w:val="26"/>
          <w:szCs w:val="26"/>
        </w:rPr>
        <w:t>—</w:t>
      </w:r>
      <w:r>
        <w:rPr>
          <w:rStyle w:val="CharStyle3"/>
        </w:rPr>
        <w:t>Восточный планировочный район (5 очередь строительства).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both"/>
      </w:pPr>
      <w:r>
        <w:rPr>
          <w:rStyle w:val="CharStyle3"/>
        </w:rPr>
        <w:t>Кварталы 40-42.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66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>—</w:t>
      </w:r>
      <w:r>
        <w:rPr>
          <w:rStyle w:val="CharStyle3"/>
        </w:rPr>
        <w:t>Детский сад на 320 мест в квартале 21 (стр. №6).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66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>—</w:t>
      </w:r>
      <w:r>
        <w:rPr>
          <w:rStyle w:val="CharStyle3"/>
        </w:rPr>
        <w:t>Центр лыжного спорта (биатлон).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66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>—</w:t>
      </w:r>
      <w:r>
        <w:rPr>
          <w:rStyle w:val="CharStyle3"/>
        </w:rPr>
        <w:t>Реконструкция крытого тренировочного хоккейного корта.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960" w:right="0" w:hanging="300"/>
        <w:jc w:val="both"/>
      </w:pPr>
      <w:r>
        <w:rPr>
          <w:rStyle w:val="CharStyle3"/>
          <w:rFonts w:ascii="Arial" w:eastAsia="Arial" w:hAnsi="Arial" w:cs="Arial"/>
          <w:sz w:val="26"/>
          <w:szCs w:val="26"/>
        </w:rPr>
        <w:t>—</w:t>
      </w:r>
      <w:r>
        <w:rPr>
          <w:rStyle w:val="CharStyle3"/>
        </w:rPr>
        <w:t>Улица Северная (от улицы Интернациональной до улицы Первопоселенцев).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66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>—</w:t>
      </w:r>
      <w:r>
        <w:rPr>
          <w:rStyle w:val="CharStyle3"/>
        </w:rPr>
        <w:t>улица Героев Самотлора (от улицы №21 до улицы Северной).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960" w:right="0" w:hanging="300"/>
        <w:jc w:val="both"/>
      </w:pPr>
      <w:r>
        <w:rPr>
          <w:rStyle w:val="CharStyle3"/>
          <w:rFonts w:ascii="Arial" w:eastAsia="Arial" w:hAnsi="Arial" w:cs="Arial"/>
          <w:sz w:val="26"/>
          <w:szCs w:val="26"/>
        </w:rPr>
        <w:t>—</w:t>
      </w:r>
      <w:r>
        <w:rPr>
          <w:rStyle w:val="CharStyle3"/>
        </w:rPr>
        <w:t>Улица Первопоселенцев (от улицы Северной до улицы Нововартовской).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20" w:right="0"/>
        <w:jc w:val="left"/>
      </w:pPr>
      <w:r>
        <w:rPr>
          <w:rStyle w:val="CharStyle3"/>
        </w:rPr>
        <w:t>В работе комиссии приняла участие председатель общественного совета города Нижневартовска по вопросам ЖКХ Волохина Н. 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0" w:right="0" w:hanging="32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  <w:b/>
          <w:bCs/>
        </w:rPr>
        <w:t xml:space="preserve">Комиссия Администрации города по противодействию коррупции </w:t>
      </w:r>
      <w:r>
        <w:rPr>
          <w:rStyle w:val="CharStyle3"/>
        </w:rPr>
        <w:t>и согласованию проекта Медиаплана об информированности жителей города о мероприятиях по профилактике коррупции в СМИ, группа «Официальный Нижневартовск».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0" w:right="0"/>
        <w:jc w:val="left"/>
      </w:pPr>
      <w:r>
        <w:rPr>
          <w:rStyle w:val="CharStyle3"/>
        </w:rPr>
        <w:t>Цель антикоррупционных мероприятий - профилактика и предупреждение правонарушений, формирование у граждан антикоррупционного сознания и поведения, корректировка их правовой культуры, выявление негативных тенденций.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0" w:right="0"/>
        <w:jc w:val="left"/>
      </w:pPr>
      <w:r>
        <w:rPr>
          <w:rStyle w:val="CharStyle3"/>
        </w:rPr>
        <w:t>Общественный контроль призван повысить эффективность работы муниципалитета с целью выполнения общественных интересов, обеспечить прозрачность и открытость работы органов государственной власти, минимизировать риск социальных конфликтов.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20" w:right="0"/>
        <w:jc w:val="left"/>
      </w:pPr>
      <w:r>
        <w:rPr>
          <w:rStyle w:val="CharStyle3"/>
        </w:rPr>
        <w:t>В работе комиссии приняла участие председатель общественного совета города Нижневартовска по вопросам ЖКХ Волохина Н. А., председатель общественной палаты Администрации города Зобнина С. Е.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4" w:val="left"/>
        </w:tabs>
        <w:bidi w:val="0"/>
        <w:spacing w:before="0" w:after="100" w:line="240" w:lineRule="auto"/>
        <w:ind w:left="320" w:right="0" w:firstLine="340"/>
        <w:jc w:val="left"/>
      </w:pPr>
      <w:r>
        <w:rPr>
          <w:rStyle w:val="CharStyle3"/>
        </w:rPr>
        <w:t xml:space="preserve">Члены Общественного совета города Нижневартовска по вопросам ЖКХ </w:t>
      </w:r>
      <w:r>
        <w:rPr>
          <w:rStyle w:val="CharStyle3"/>
          <w:b/>
          <w:bCs/>
        </w:rPr>
        <w:t xml:space="preserve">приняли после капремонта </w:t>
      </w:r>
      <w:r>
        <w:rPr>
          <w:rStyle w:val="CharStyle3"/>
        </w:rPr>
        <w:t>с хорошим качеством следующие дома в городе: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0" w:right="0"/>
        <w:jc w:val="left"/>
      </w:pPr>
      <w:r>
        <w:rPr>
          <w:rStyle w:val="CharStyle3"/>
        </w:rPr>
        <w:t>— ул. Спортивная, д. 1а - Капитальный ремонт фасада (окраска цоколя, устройство отмостки). Подрядчик ООО «НТСМ». Принял работу член общественного совета города Нижневартовска по вопросам ЖКХ (Гурбанов М. М.)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320" w:right="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</w:rPr>
        <w:t>ул. Северная, д. 28а - согласование проектной документации, конструктивные решения, капремонт</w:t>
        <w:br w:type="page"/>
      </w:r>
      <w:r>
        <w:rPr>
          <w:rStyle w:val="CharStyle3"/>
        </w:rPr>
        <w:t>подвального помещения. Принял работу член общественного совета города Нижневартовска по вопросам ЖКХ (Гурбанов М. М.).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81" w:val="left"/>
        </w:tabs>
        <w:bidi w:val="0"/>
        <w:spacing w:before="0" w:after="0" w:line="240" w:lineRule="auto"/>
        <w:ind w:left="380" w:right="0" w:firstLine="280"/>
        <w:jc w:val="left"/>
      </w:pPr>
      <w:r>
        <w:rPr>
          <w:rStyle w:val="CharStyle3"/>
        </w:rPr>
        <w:t xml:space="preserve">На основании приказа Департамента ЖКХ создана </w:t>
      </w:r>
      <w:r>
        <w:rPr>
          <w:rStyle w:val="CharStyle3"/>
          <w:b/>
          <w:bCs/>
        </w:rPr>
        <w:t>комиссия по осуществлению приёмки жилых помещений (квартир) для обеспечения жилыми помещениями детей-сирот и детей, оставшихся без попечения родителей на муниципальной контрактной основе</w:t>
      </w:r>
      <w:r>
        <w:rPr>
          <w:rStyle w:val="CharStyle3"/>
        </w:rPr>
        <w:t>, с участием общественного совета города Нижневартовска по вопросам ЖКХ. Комиссией осуществлён осмотр квартир и проведена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firstLine="0"/>
        <w:jc w:val="left"/>
      </w:pPr>
      <w:r>
        <w:rPr>
          <w:rStyle w:val="CharStyle3"/>
        </w:rPr>
        <w:t>экспертиза по оценке качества передаваемых квартир под переселение жителей города Нижневартовска, ул. Мира 6а, их соответствию требованиям, предусмотренных муниципальным контрактом №01873000012230001660001 от 26.05.2023 г.: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64465" distL="0" distR="0" simplePos="0" relativeHeight="125829378" behindDoc="0" locked="0" layoutInCell="1" allowOverlap="1">
                <wp:simplePos x="0" y="0"/>
                <wp:positionH relativeFrom="page">
                  <wp:posOffset>1650365</wp:posOffset>
                </wp:positionH>
                <wp:positionV relativeFrom="paragraph">
                  <wp:posOffset>0</wp:posOffset>
                </wp:positionV>
                <wp:extent cx="2465705" cy="200850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65705" cy="2008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 xml:space="preserve">— ул. Интернациональная, — ул. Интернациональная,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 xml:space="preserve">— </w:t>
                            </w:r>
                            <w:r>
                              <w:rPr>
                                <w:rStyle w:val="CharStyle3"/>
                              </w:rPr>
                              <w:t xml:space="preserve">ул. Интернациональная,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 xml:space="preserve">— </w:t>
                            </w:r>
                            <w:r>
                              <w:rPr>
                                <w:rStyle w:val="CharStyle3"/>
                              </w:rPr>
                              <w:t xml:space="preserve">ул. Интернациональная,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 xml:space="preserve">— </w:t>
                            </w:r>
                            <w:r>
                              <w:rPr>
                                <w:rStyle w:val="CharStyle3"/>
                              </w:rPr>
                              <w:t xml:space="preserve">ул. Интернациональная,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 xml:space="preserve">— </w:t>
                            </w:r>
                            <w:r>
                              <w:rPr>
                                <w:rStyle w:val="CharStyle3"/>
                              </w:rPr>
                              <w:t xml:space="preserve">ул. Интернациональная,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 xml:space="preserve">— </w:t>
                            </w:r>
                            <w:r>
                              <w:rPr>
                                <w:rStyle w:val="CharStyle3"/>
                              </w:rPr>
                              <w:t xml:space="preserve">ул. Интернациональная,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 xml:space="preserve">— </w:t>
                            </w:r>
                            <w:r>
                              <w:rPr>
                                <w:rStyle w:val="CharStyle3"/>
                              </w:rPr>
                              <w:t xml:space="preserve">ул. Интернациональная,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 xml:space="preserve">— </w:t>
                            </w:r>
                            <w:r>
                              <w:rPr>
                                <w:rStyle w:val="CharStyle3"/>
                              </w:rPr>
                              <w:t>ул. Интернациональная,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9.94999999999999pt;margin-top:0;width:194.15000000000001pt;height:158.15000000000001pt;z-index:-125829375;mso-wrap-distance-left:0;mso-wrap-distance-right:0;mso-wrap-distance-bottom:12.9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 xml:space="preserve">— ул. Интернациональная, — ул. Интернациональная,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sz w:val="26"/>
                          <w:szCs w:val="26"/>
                        </w:rPr>
                        <w:t xml:space="preserve">— </w:t>
                      </w:r>
                      <w:r>
                        <w:rPr>
                          <w:rStyle w:val="CharStyle3"/>
                        </w:rPr>
                        <w:t xml:space="preserve">ул. Интернациональная,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sz w:val="26"/>
                          <w:szCs w:val="26"/>
                        </w:rPr>
                        <w:t xml:space="preserve">— </w:t>
                      </w:r>
                      <w:r>
                        <w:rPr>
                          <w:rStyle w:val="CharStyle3"/>
                        </w:rPr>
                        <w:t xml:space="preserve">ул. Интернациональная,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sz w:val="26"/>
                          <w:szCs w:val="26"/>
                        </w:rPr>
                        <w:t xml:space="preserve">— </w:t>
                      </w:r>
                      <w:r>
                        <w:rPr>
                          <w:rStyle w:val="CharStyle3"/>
                        </w:rPr>
                        <w:t xml:space="preserve">ул. Интернациональная,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sz w:val="26"/>
                          <w:szCs w:val="26"/>
                        </w:rPr>
                        <w:t xml:space="preserve">— </w:t>
                      </w:r>
                      <w:r>
                        <w:rPr>
                          <w:rStyle w:val="CharStyle3"/>
                        </w:rPr>
                        <w:t xml:space="preserve">ул. Интернациональная,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sz w:val="26"/>
                          <w:szCs w:val="26"/>
                        </w:rPr>
                        <w:t xml:space="preserve">— </w:t>
                      </w:r>
                      <w:r>
                        <w:rPr>
                          <w:rStyle w:val="CharStyle3"/>
                        </w:rPr>
                        <w:t xml:space="preserve">ул. Интернациональная,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sz w:val="26"/>
                          <w:szCs w:val="26"/>
                        </w:rPr>
                        <w:t xml:space="preserve">— </w:t>
                      </w:r>
                      <w:r>
                        <w:rPr>
                          <w:rStyle w:val="CharStyle3"/>
                        </w:rPr>
                        <w:t xml:space="preserve">ул. Интернациональная,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sz w:val="26"/>
                          <w:szCs w:val="26"/>
                        </w:rPr>
                        <w:t xml:space="preserve">— </w:t>
                      </w:r>
                      <w:r>
                        <w:rPr>
                          <w:rStyle w:val="CharStyle3"/>
                        </w:rPr>
                        <w:t>ул. Интернациональная,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70180" distL="0" distR="0" simplePos="0" relativeHeight="125829380" behindDoc="0" locked="0" layoutInCell="1" allowOverlap="1">
                <wp:simplePos x="0" y="0"/>
                <wp:positionH relativeFrom="page">
                  <wp:posOffset>4134485</wp:posOffset>
                </wp:positionH>
                <wp:positionV relativeFrom="paragraph">
                  <wp:posOffset>0</wp:posOffset>
                </wp:positionV>
                <wp:extent cx="2225040" cy="200279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2002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дом 1 корпус 2, кв. 200; дом 1 корпус 2, кв. 235; дом 1 корпус 2, кв. 240; дом 1 корпус 2, кв. 250; дом 1 корпус 2, кв. 171; дом 1 корпус 2, кв. 231; дом 1 корпус 2, кв. 236; дом 1 корпус 2, кв. 271; дом 1 корпус 2, кв. 174.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5.55000000000001pt;margin-top:0;width:175.20000000000002pt;height:157.70000000000002pt;z-index:-125829373;mso-wrap-distance-left:0;mso-wrap-distance-right:0;mso-wrap-distance-bottom:13.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дом 1 корпус 2, кв. 200; дом 1 корпус 2, кв. 235; дом 1 корпус 2, кв. 240; дом 1 корпус 2, кв. 250; дом 1 корпус 2, кв. 171; дом 1 корпус 2, кв. 231; дом 1 корпус 2, кв. 236; дом 1 корпус 2, кв. 271; дом 1 корпус 2, кв. 174.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32305" distB="0" distL="0" distR="0" simplePos="0" relativeHeight="125829382" behindDoc="0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1932305</wp:posOffset>
                </wp:positionV>
                <wp:extent cx="5736590" cy="24066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36590" cy="240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В работе комиссии принял участие член общественного совета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4.850000000000009pt;margin-top:152.15000000000001pt;width:451.69999999999999pt;height:18.949999999999999pt;z-index:-125829371;mso-wrap-distance-left:0;mso-wrap-distance-top:152.15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В работе комиссии принял участие член общественного совета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3"/>
        </w:rPr>
        <w:t>города Нижневартовска по вопросам ЖКХ Похила Ю. 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1" w:val="left"/>
        </w:tabs>
        <w:bidi w:val="0"/>
        <w:spacing w:before="0" w:after="100" w:line="240" w:lineRule="auto"/>
        <w:ind w:left="0" w:right="0" w:firstLine="300"/>
        <w:jc w:val="left"/>
      </w:pPr>
      <w:r>
        <w:rPr>
          <w:rStyle w:val="CharStyle3"/>
        </w:rPr>
        <w:t>Рабочая поездка на производственные объекты филиала АО «Горэлектросеть»: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</w:rPr>
        <w:t>Котельная №5 (ул.Кузоваткина, 1а,), модернизация которой выполнена филиалом АО «Горэлектросеть» в рамках инвестиционной программы на 2023 г., что позволит внедрить безопасную эксплуатацию розжига котла - новый котёл оснащён современными газомазутными горелками, повысить экономию топлива при эксплуатации. Программой развития инфраструктуры предусмотрено снижение негативного воздействия на окружающую среду и здоровье человека. До конца 2023 г. концессионер инвестирует в модернизацию котельной № 5 - 500 млн. рублей.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</w:rPr>
        <w:t xml:space="preserve">Аварийный участок на ул. Маршала Жукова, дом 3, который обеспечивает теплом жилой фонд 5 микрорайона, где в рамках обязательств концессионера произведена замена труб тепловой сети диаметром 400 мм и протяжённостью 30 м, где последние два года происходили порывы. Обычную стальную трубу заменили на трубу с изоляцией, которая даёт минимальные потери тепла. Стоимость работ на участке ТС по </w:t>
      </w:r>
      <w:r>
        <w:rPr>
          <w:rStyle w:val="CharStyle3"/>
        </w:rPr>
        <w:t>улице Маршала Жукова, дом 3, составляет порядка 6 млн. рублей.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3"/>
        </w:rPr>
        <w:t>В рабочей поездке принял участие зам. председателя общественного совета города Нижневартовска по вопросам ЖКХ - Униковский А. 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1" w:val="left"/>
        </w:tabs>
        <w:bidi w:val="0"/>
        <w:spacing w:before="0" w:after="0" w:line="240" w:lineRule="auto"/>
        <w:ind w:left="0" w:right="0" w:firstLine="320"/>
        <w:jc w:val="left"/>
      </w:pPr>
      <w:r>
        <w:rPr>
          <w:rStyle w:val="CharStyle3"/>
        </w:rPr>
        <w:t>В Общественный совет города Нижневартовска по вопросам ЖКХ обратились жители города Нижневартовска: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— ул. Нефтяников д.д. 87, 89, 85;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— ул. Интернациональная 29а.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3"/>
        </w:rPr>
        <w:t>по вопросу нарушения законных прав и интересов жителей 10б микрорайона в части пользования смежным земельным участком, границы которого в результате формирования земельного участка 10б микрорайона были отнесены к дому №87 улица Нефтяников, без их уведомления и согласия. В адрес жителей был направлен ответ, в котором рекомендовано оспорить результаты межевания в городском народном суде.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1" w:val="left"/>
        </w:tabs>
        <w:bidi w:val="0"/>
        <w:spacing w:before="0" w:after="0" w:line="240" w:lineRule="auto"/>
        <w:ind w:left="0" w:right="0" w:firstLine="320"/>
        <w:jc w:val="left"/>
      </w:pPr>
      <w:r>
        <w:rPr>
          <w:rStyle w:val="CharStyle3"/>
        </w:rPr>
        <w:t>Члены Общественного совета города Нижневартовска по вопросам ЖКХ (Волохина Н. А., Ермолаева Н. В., Гурбанов М. М., Лазарева В. Н.) приняли участие в проведении публичных слушаний по обсуждению проекта актуализированной схемы теплоснабжения города Нижневартовска в соответствии с темпами реализации концессионного соглашения (докладчик Директор Департамента ЖКХ Боков А. Н.). В связи с состоянием котельных, не соответствующих требованиям технической оснащённости - установленные ЦТП имеют физический износ более 70%, высокий уровень износа отдельных участков тепловых сетей, требуются капиталовложения по схеме теплоснабжения в общей сумме 2 251,883 млн. рублей.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1" w:val="left"/>
        </w:tabs>
        <w:bidi w:val="0"/>
        <w:spacing w:before="0" w:after="0" w:line="240" w:lineRule="auto"/>
        <w:ind w:left="0" w:right="0" w:firstLine="320"/>
        <w:jc w:val="left"/>
      </w:pPr>
      <w:r>
        <w:rPr>
          <w:rStyle w:val="CharStyle3"/>
        </w:rPr>
        <w:t>На очередном заседании Общественного совета города Нижневартовска по вопросам ЖКХ до членов Общественного совета была доведена следующая информация: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</w:rPr>
        <w:t>Директором ООО «Нижневартовские коммунальные системы» Коротаевым М. А. о результатах работы в сфере водоснабжения и водоотведения за 2022 г. Производственная программа выполнена на 107%. Концессионером ООО «Нижневартовские коммунальные системы» вложено финансовых средств в 2022 г. по водоснабжению 11,738 млн. руб. по водоотведению 25,570 млн. руб.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16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</w:rPr>
        <w:t>Начальником отдела по дорожному хозяйству и благоустройству управления по дорожному хозяйству Департамента ЖКХ Администрации города Нижневартовска Казак Т. А. о состоянии освещения мест массового отдыха жителей города (скверы, бульвары, парки), находящиеся в муниципальной собственности.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rStyle w:val="CharStyle3"/>
        </w:rPr>
        <w:t>— В результате опроса жителей города о тематике новогоднего городка, большинством голосов получила тематика - детские сказки и басни А. С. Пушкина, И. А. Крылова, С. В. Михалкова.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</w:rPr>
        <w:t>Начальником управления по дорожному хозяйству Департамента ЖКХ Администрации города Нижневартовска Павлова Е. В. об исполнении поручений Президента Российской Федерации по запуску нового функционала по технологическому присоединению объектов недвижимости к сетям инженерно</w:t>
        <w:softHyphen/>
        <w:t>технического обеспечения (холодного и горячего водоснабжения, водоотведения и теплоснабжения). Информация об обеспечении достижения показателей, установленных в целевых моделях, в том числе внедрение функционала автоматической информационной системы под «Ключ» - технологическое присоединение к сетям инженерно-технического обеспечения (АИС ТПС). Проделанная работа предусматривает удобство взаимодействия потребителей с ресурсоснабжающими организациями в электронном виде. Данные информационные ресурсы позволят оставлять заявку на технологическое присоединение по всем инженерным сетям в одном месте.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</w:rPr>
        <w:t>Департаментом ЖКХ Администрации города Нижневартовска ежемесячно формируется мониторинг задолженностей организаций бюджетного сектора. По состоянию на 01.06.2023 г. имеется просроченная задолженность за федеральными бюджетными организациями в сумме 1 221,03 тыс. рублей. При Департаменте ЖКХ создана комиссия по вопросам ликвидации задолженности в сфере ЖКХ, куда вошли представители Общественного совета города Нижневартовска по вопросам ЖКХ. Задачей ПДК является обеспечение взаимодействия исполнительных органов местного самоуправления, ресурсоснабжающих, управляющих организаций при решении вопросов ликвидации задолженности.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</w:rPr>
        <w:t>О ходе реализации национального проекта «Безопасные качественные дороги». В рамках проекта применяются инновационные технологии, будет проведена инструментальная диагностика автомобильных дорог на их соответствие нормативному состоянию. На приведение в соответствие нормативам выделено финансовых средств на 2023 г. 196,3 млн. рублей, в том числе из бюджета автономного округа 68,4 млн. рублей, из бюджета города Нижневартовска 127,9 млн. рублей.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</w:rPr>
        <w:t xml:space="preserve">О принятии мер, направленных на реализацию новых национальных стандартов по обустройству пешеходных переходов. В результате будет демонтировано 4,6 км </w:t>
      </w:r>
      <w:r>
        <w:rPr>
          <w:rStyle w:val="CharStyle3"/>
        </w:rPr>
        <w:t>ограждений на разделительной полосе, будут решены вопросы стационарного освещения переходов, тротуаров, наличие дорожных знаков, светофоров, ограничивающих ограждений. В городе 445 пешеходных переходов, из них 11 вблизи 9 образовательных учреждений, которые соответствуют требованиям национальных стандартов.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3"/>
        </w:rPr>
        <w:t>— О реализации администрацией города Нижневартовска действующего законодательства в сфере обращения с безнадзорными животными. В целях проведения с населением разъяснительной работы по вопросам соблюдения правил содержания и выгула домашних животных, администрацией города Нижневартовска выполняются все необходимые меры во избежание травматизма среди населения города в рамках действующего законодательства.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22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</w:rPr>
        <w:t>Члены Общественного совета города Нижневартовска по вопросам жилищно-коммунального хозяйства ознакомлены с представленным расчётом размера регионального стандарта стоимости ЖКУ по городу Нижневартовску на 2023 год.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4" w:val="left"/>
        </w:tabs>
        <w:bidi w:val="0"/>
        <w:spacing w:before="0" w:after="100" w:line="259" w:lineRule="auto"/>
        <w:ind w:left="0" w:right="0" w:firstLine="360"/>
        <w:jc w:val="left"/>
      </w:pPr>
      <w:r>
        <w:rPr>
          <w:rStyle w:val="CharStyle3"/>
        </w:rPr>
        <w:t>В Администрации города Нижневартовска состоялись публичные слушания о результатах работы инвестора ООО «Нижневартовские коммунальные системы», в рамках концессионного соглашения, с момента заключения которого прошло 3 года. Были представлены производственные и финансовые результаты деятельности предприятия и перспективы развития. Сумма проектов инвестпрограммы НКС в 2022 году превысила 400 млн. рублей. От Общественного совета города Нижневартовска по вопросам ЖКХ приняла участие в работе публичных слушаний о результатах работы инвестора ООО «Нижневартовские коммунальные системы» Лазарева В. Н.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4" w:val="left"/>
        </w:tabs>
        <w:bidi w:val="0"/>
        <w:spacing w:before="0" w:after="100" w:line="259" w:lineRule="auto"/>
        <w:ind w:left="0" w:right="0" w:firstLine="360"/>
        <w:jc w:val="left"/>
      </w:pPr>
      <w:r>
        <w:rPr>
          <w:rStyle w:val="CharStyle3"/>
        </w:rPr>
        <w:t>25 мая 2023 г. состоялось совместное заседание Общественного совета при Югорском фонде капитального ремонта многоквартирных домов и комиссии общественной палаты Югры по ЖКК, при участии членов Общественного совета города Нижневартовска по вопросам ЖКХ с повесткой дня: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91" w:val="left"/>
        </w:tabs>
        <w:bidi w:val="0"/>
        <w:spacing w:before="0" w:after="0" w:line="259" w:lineRule="auto"/>
        <w:ind w:left="0" w:right="0" w:firstLine="360"/>
        <w:jc w:val="left"/>
      </w:pPr>
      <w:r>
        <w:rPr>
          <w:rStyle w:val="CharStyle3"/>
        </w:rPr>
        <w:t>.Отчёт о деятельности ЮФКР за 2022 г.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44" w:val="left"/>
        </w:tabs>
        <w:bidi w:val="0"/>
        <w:spacing w:before="0" w:after="0" w:line="259" w:lineRule="auto"/>
        <w:ind w:left="360" w:right="0" w:firstLine="0"/>
        <w:jc w:val="left"/>
      </w:pPr>
      <w:r>
        <w:rPr>
          <w:rStyle w:val="CharStyle3"/>
        </w:rPr>
        <w:t>.Исполнение подрядными организациями гарантийных обязательств по Договорам.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4" w:val="left"/>
        </w:tabs>
        <w:bidi w:val="0"/>
        <w:spacing w:before="0" w:after="100" w:line="240" w:lineRule="auto"/>
        <w:ind w:left="0" w:right="0" w:firstLine="220"/>
        <w:jc w:val="left"/>
      </w:pPr>
      <w:r>
        <w:rPr>
          <w:rStyle w:val="CharStyle3"/>
        </w:rPr>
        <w:t>В ответ на обращение к Главе города о выделении финансовых средств из бюджета города Нижневартовска на содержание и ремонт внутриквартальных проездов, находящихся в собственности муниципалитета, письмом от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18.05.2023 г. №8-01-2786 было сообщено, что при формировании проекта бюджета на 2024 г. и плановый период 2025 и 2026 годов будут запланированы финансовые средства на содержание и ремонт внутриквартальных проездов, въездов в микрорайоны города, расположенных в границах полосы отвода автомобильных дорог, находящихся в муниципальной собственности, а также бесхозяйных дорог, находящихся на территории города Нижневартовска.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after="300" w:line="240" w:lineRule="auto"/>
        <w:ind w:left="0" w:right="0" w:firstLine="240"/>
        <w:jc w:val="left"/>
      </w:pPr>
      <w:r>
        <w:rPr>
          <w:rStyle w:val="CharStyle3"/>
        </w:rPr>
        <w:t>По отмене уплаты земельного налога в муниципальных учреждениях, проводится оценка целесообразности и результативности предлагаемой налоговой льготы, будет подготовлено заключение о признании налоговой льготы эффективной (неэффективной).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4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color w:val="312A2A"/>
        </w:rPr>
        <w:t>Председатель Общественного Совета г. Нижневартовска по вопросам</w:t>
        <w:tab/>
        <w:t>/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6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color w:val="312A2A"/>
        </w:rPr>
        <w:t xml:space="preserve">жилищно-коммунального хозяйства </w:t>
      </w:r>
      <w:r>
        <w:rPr>
          <w:rStyle w:val="CharStyle3"/>
          <w:color w:val="3422AE"/>
          <w:u w:val="single"/>
        </w:rPr>
        <w:t>X</w:t>
      </w:r>
      <w:r>
        <w:rPr>
          <w:rStyle w:val="CharStyle3"/>
          <w:color w:val="3422AE"/>
        </w:rPr>
        <w:tab/>
      </w:r>
      <w:r>
        <w:rPr>
          <w:rStyle w:val="CharStyle3"/>
          <w:color w:val="312A2A"/>
        </w:rPr>
        <w:t>/Волохина Н. А./</w:t>
      </w:r>
    </w:p>
    <w:sectPr>
      <w:footnotePr>
        <w:pos w:val="pageBottom"/>
        <w:numFmt w:val="decimal"/>
        <w:numRestart w:val="continuous"/>
      </w:footnotePr>
      <w:pgSz w:w="11900" w:h="16840"/>
      <w:pgMar w:top="1114" w:right="438" w:bottom="391" w:left="1292" w:header="686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0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Основной текст (2)_"/>
    <w:basedOn w:val="DefaultParagraphFont"/>
    <w:link w:val="Style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60"/>
    </w:pPr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auto"/>
      <w:spacing w:after="3730"/>
      <w:jc w:val="center"/>
    </w:pPr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0"/>
      <w:szCs w:val="4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Надежда Волохина</dc:creator>
  <cp:keywords/>
</cp:coreProperties>
</file>