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64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  <w:r>
        <w:rPr>
          <w:sz w:val="26"/>
          <w:szCs w:val="26"/>
        </w:rPr>
      </w:r>
      <w:r/>
    </w:p>
    <w:p>
      <w:pPr>
        <w:ind w:firstLine="709"/>
        <w:jc w:val="center"/>
        <w:spacing w:line="264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об особенностях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установления </w:t>
      </w:r>
      <w:r>
        <w:rPr>
          <w:b/>
          <w:sz w:val="26"/>
          <w:szCs w:val="26"/>
        </w:rPr>
        <w:t xml:space="preserve">единых тарифов на</w:t>
      </w:r>
      <w:r>
        <w:rPr>
          <w:b/>
          <w:sz w:val="26"/>
          <w:szCs w:val="26"/>
        </w:rPr>
        <w:t xml:space="preserve"> услугу</w:t>
      </w:r>
      <w:r>
        <w:rPr>
          <w:sz w:val="26"/>
          <w:szCs w:val="26"/>
        </w:rPr>
      </w:r>
      <w:r/>
    </w:p>
    <w:p>
      <w:pPr>
        <w:ind w:firstLine="709"/>
        <w:jc w:val="center"/>
        <w:spacing w:line="264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по обращению </w:t>
      </w:r>
      <w:r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</w:rPr>
        <w:t xml:space="preserve">твердыми коммунальными отходами </w:t>
      </w:r>
      <w:r>
        <w:rPr>
          <w:b/>
          <w:sz w:val="26"/>
          <w:szCs w:val="26"/>
        </w:rPr>
        <w:t xml:space="preserve">на 2024 год</w:t>
      </w:r>
      <w:r>
        <w:rPr>
          <w:sz w:val="26"/>
          <w:szCs w:val="26"/>
        </w:rPr>
      </w:r>
      <w:r/>
    </w:p>
    <w:p>
      <w:pPr>
        <w:ind w:firstLine="709"/>
        <w:jc w:val="center"/>
        <w:spacing w:line="264" w:lineRule="auto"/>
        <w:rPr>
          <w:sz w:val="26"/>
          <w:szCs w:val="26"/>
        </w:rPr>
      </w:pPr>
      <w:r>
        <w:rPr>
          <w:b/>
          <w:bCs/>
          <w:sz w:val="26"/>
          <w:szCs w:val="26"/>
          <w:highlight w:val="none"/>
        </w:rPr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Установление </w:t>
      </w:r>
      <w:r>
        <w:rPr>
          <w:sz w:val="26"/>
          <w:szCs w:val="26"/>
        </w:rPr>
        <w:t xml:space="preserve">предельных </w:t>
      </w:r>
      <w:r>
        <w:rPr>
          <w:sz w:val="26"/>
          <w:szCs w:val="26"/>
        </w:rPr>
        <w:t xml:space="preserve">единых тарифов </w:t>
      </w:r>
      <w:r>
        <w:rPr>
          <w:sz w:val="26"/>
          <w:szCs w:val="26"/>
        </w:rPr>
        <w:t xml:space="preserve">на услугу регионального оператора по обращению с твердыми коммунальными отходами (далее – ТКО; единый тариф) на территории Ханты-Мансийского автономного округа – Югры </w:t>
      </w:r>
      <w:r>
        <w:rPr>
          <w:sz w:val="26"/>
          <w:szCs w:val="26"/>
        </w:rPr>
        <w:t xml:space="preserve">осуществляется </w:t>
      </w:r>
      <w:r>
        <w:rPr>
          <w:sz w:val="26"/>
          <w:szCs w:val="26"/>
        </w:rPr>
        <w:t xml:space="preserve">Региональной службой</w:t>
      </w:r>
      <w:r>
        <w:rPr>
          <w:sz w:val="26"/>
          <w:szCs w:val="26"/>
        </w:rPr>
        <w:t xml:space="preserve"> по тарифам Ханты-Мансийского автономного округа – Югры (далее – РСТ Югры)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Регулирование осуществляется в</w:t>
      </w:r>
      <w:r>
        <w:rPr>
          <w:sz w:val="26"/>
          <w:szCs w:val="26"/>
        </w:rPr>
        <w:t xml:space="preserve"> соответствии с требованиями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Федерального закона от 24.06.1998 № 89-ФЗ «Об отходах производства и потребления» (далее – Закон № 89-ФЗ)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постановления Правительства Российской Федерации от 30.05.2016 </w:t>
      </w:r>
      <w:r>
        <w:rPr>
          <w:sz w:val="26"/>
          <w:szCs w:val="26"/>
          <w:lang w:val="en-US"/>
        </w:rPr>
        <w:t xml:space="preserve">       </w:t>
      </w:r>
      <w:r>
        <w:rPr>
          <w:sz w:val="26"/>
          <w:szCs w:val="26"/>
        </w:rPr>
        <w:t xml:space="preserve">№ 484 «О ценообразовании в области обращения с т</w:t>
      </w:r>
      <w:r>
        <w:rPr>
          <w:sz w:val="26"/>
          <w:szCs w:val="26"/>
        </w:rPr>
        <w:t xml:space="preserve">вердыми коммунальными отходами»;</w:t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приказа ФАС России от 21.11.2016 № 1638/16 «Об утверждении Методических указаний по расчету регулируемых тарифов в сфере обращения с твердыми коммунальными отходами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  <w:highlight w:val="none"/>
        </w:rPr>
        <w:t xml:space="preserve">С учетом требований выше </w:t>
      </w:r>
      <w:r>
        <w:rPr>
          <w:color w:val="000000"/>
          <w:sz w:val="26"/>
          <w:szCs w:val="26"/>
          <w:highlight w:val="none"/>
        </w:rPr>
        <w:t xml:space="preserve">указанных </w:t>
      </w:r>
      <w:r>
        <w:rPr>
          <w:color w:val="000000"/>
          <w:sz w:val="26"/>
          <w:szCs w:val="26"/>
          <w:highlight w:val="none"/>
        </w:rPr>
        <w:t xml:space="preserve">нормативных правовых актов </w:t>
      </w:r>
      <w:r>
        <w:rPr>
          <w:color w:val="000000"/>
          <w:sz w:val="26"/>
          <w:szCs w:val="26"/>
          <w:highlight w:val="none"/>
        </w:rPr>
        <w:t xml:space="preserve">п</w:t>
      </w:r>
      <w:r>
        <w:rPr>
          <w:color w:val="000000"/>
          <w:sz w:val="26"/>
          <w:szCs w:val="26"/>
          <w:highlight w:val="none"/>
        </w:rPr>
        <w:t xml:space="preserve">рик</w:t>
      </w:r>
      <w:r>
        <w:rPr>
          <w:color w:val="000000"/>
          <w:sz w:val="26"/>
          <w:szCs w:val="26"/>
          <w:highlight w:val="none"/>
        </w:rPr>
        <w:t xml:space="preserve">азом РСТ Югры от 14.12.2023 № 132-нп «</w:t>
      </w:r>
      <w:r>
        <w:rPr>
          <w:color w:val="000000"/>
          <w:sz w:val="26"/>
          <w:szCs w:val="26"/>
          <w:highlight w:val="none"/>
        </w:rPr>
        <w:t xml:space="preserve">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«Югра-Экология</w:t>
      </w:r>
      <w:r>
        <w:rPr>
          <w:color w:val="000000"/>
          <w:sz w:val="26"/>
          <w:szCs w:val="26"/>
          <w:highlight w:val="none"/>
        </w:rPr>
        <w:t xml:space="preserve">»</w:t>
      </w:r>
      <w:r>
        <w:rPr>
          <w:color w:val="000000"/>
          <w:sz w:val="26"/>
          <w:szCs w:val="26"/>
          <w:highlight w:val="none"/>
        </w:rPr>
        <w:t xml:space="preserve"> (</w:t>
      </w:r>
      <w:r>
        <w:rPr>
          <w:color w:val="000000"/>
          <w:sz w:val="26"/>
          <w:szCs w:val="26"/>
          <w:highlight w:val="none"/>
        </w:rPr>
        <w:t xml:space="preserve">далее – приказ РСТ Югры № 132-нп</w:t>
      </w:r>
      <w:r>
        <w:rPr>
          <w:color w:val="000000"/>
          <w:sz w:val="26"/>
          <w:szCs w:val="26"/>
          <w:highlight w:val="none"/>
        </w:rPr>
        <w:t xml:space="preserve">) установлены единые тарифы на 2024 год по зонам деятельности регионального оператора</w:t>
      </w:r>
      <w:r>
        <w:rPr>
          <w:color w:val="000000"/>
          <w:sz w:val="26"/>
          <w:szCs w:val="26"/>
          <w:highlight w:val="none"/>
        </w:rPr>
        <w:t xml:space="preserve">. 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При этом в</w:t>
      </w:r>
      <w:r>
        <w:rPr>
          <w:sz w:val="26"/>
          <w:szCs w:val="26"/>
          <w:highlight w:val="none"/>
        </w:rPr>
        <w:t xml:space="preserve"> соответствии с п. 2 статьи 24.8 </w:t>
      </w:r>
      <w:r>
        <w:rPr>
          <w:sz w:val="26"/>
          <w:szCs w:val="26"/>
          <w:highlight w:val="none"/>
        </w:rPr>
        <w:t xml:space="preserve">Закона № 89-ФЗ </w:t>
      </w:r>
      <w:r>
        <w:rPr>
          <w:sz w:val="26"/>
          <w:szCs w:val="26"/>
          <w:highlight w:val="none"/>
        </w:rPr>
        <w:t xml:space="preserve">регулируемые виды деятельности в области обращения с ТКО </w:t>
      </w:r>
      <w:r>
        <w:rPr>
          <w:sz w:val="26"/>
          <w:szCs w:val="26"/>
          <w:highlight w:val="none"/>
        </w:rPr>
        <w:t xml:space="preserve">могут осуществля</w:t>
      </w:r>
      <w:r>
        <w:rPr>
          <w:sz w:val="26"/>
          <w:szCs w:val="26"/>
          <w:highlight w:val="none"/>
        </w:rPr>
        <w:t xml:space="preserve">т</w:t>
      </w:r>
      <w:r>
        <w:rPr>
          <w:sz w:val="26"/>
          <w:szCs w:val="26"/>
          <w:highlight w:val="none"/>
        </w:rPr>
        <w:t xml:space="preserve">ь</w:t>
      </w:r>
      <w:r>
        <w:rPr>
          <w:sz w:val="26"/>
          <w:szCs w:val="26"/>
          <w:highlight w:val="none"/>
        </w:rPr>
        <w:t xml:space="preserve">ся по ценам, которые определены соглашением сторон, но не должны превышать предельные тарифы на осуществление регулируемых видов деятельности в области обращения с ТКО, установленные органами </w:t>
      </w:r>
      <w:r>
        <w:rPr>
          <w:sz w:val="26"/>
          <w:szCs w:val="26"/>
          <w:highlight w:val="none"/>
        </w:rPr>
        <w:t xml:space="preserve">исполнительной власти субъектов Российской Федерации, уполномоченными в области регулирования тарифов. 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В связи с чем</w:t>
      </w:r>
      <w:r>
        <w:rPr>
          <w:sz w:val="26"/>
          <w:szCs w:val="26"/>
          <w:highlight w:val="none"/>
        </w:rPr>
        <w:t xml:space="preserve"> для населения, проживающего на территории муниципальных образований автономного округа,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в целях соблюдения </w:t>
      </w:r>
      <w:r>
        <w:rPr>
          <w:sz w:val="26"/>
          <w:szCs w:val="26"/>
          <w:highlight w:val="none"/>
        </w:rPr>
        <w:t xml:space="preserve">предельных (максимальных</w:t>
      </w:r>
      <w:r>
        <w:rPr>
          <w:sz w:val="26"/>
          <w:szCs w:val="26"/>
          <w:highlight w:val="none"/>
        </w:rPr>
        <w:t xml:space="preserve">) индекс</w:t>
      </w:r>
      <w:r>
        <w:rPr>
          <w:sz w:val="26"/>
          <w:szCs w:val="26"/>
          <w:highlight w:val="none"/>
        </w:rPr>
        <w:t xml:space="preserve">ов</w:t>
      </w:r>
      <w:r>
        <w:rPr>
          <w:sz w:val="26"/>
          <w:szCs w:val="26"/>
          <w:highlight w:val="none"/>
        </w:rPr>
        <w:t xml:space="preserve"> изменения размера вносимой гражданами платы за коммунальные услуги </w:t>
      </w:r>
      <w:r>
        <w:rPr>
          <w:sz w:val="26"/>
          <w:szCs w:val="26"/>
          <w:highlight w:val="none"/>
        </w:rPr>
        <w:t xml:space="preserve"> на 2024 год, </w:t>
      </w:r>
      <w:r>
        <w:rPr>
          <w:sz w:val="26"/>
          <w:szCs w:val="26"/>
          <w:highlight w:val="none"/>
        </w:rPr>
        <w:t xml:space="preserve">утве</w:t>
      </w:r>
      <w:r>
        <w:rPr>
          <w:sz w:val="26"/>
          <w:szCs w:val="26"/>
          <w:highlight w:val="none"/>
        </w:rPr>
        <w:t xml:space="preserve">ржденных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п</w:t>
      </w:r>
      <w:r>
        <w:rPr>
          <w:sz w:val="26"/>
          <w:szCs w:val="26"/>
          <w:highlight w:val="none"/>
        </w:rPr>
        <w:t xml:space="preserve">остановлением Губе</w:t>
      </w:r>
      <w:r>
        <w:rPr>
          <w:b w:val="0"/>
          <w:bCs w:val="0"/>
          <w:sz w:val="26"/>
          <w:szCs w:val="26"/>
          <w:highlight w:val="none"/>
        </w:rPr>
        <w:t xml:space="preserve">рнатора Ханты-Мансийского автономного округа – Югры от 11.12.2023 № 185,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единые тарифы </w:t>
      </w:r>
      <w:r>
        <w:rPr>
          <w:b w:val="0"/>
          <w:bCs w:val="0"/>
          <w:sz w:val="26"/>
          <w:szCs w:val="26"/>
          <w:highlight w:val="none"/>
        </w:rPr>
        <w:t xml:space="preserve">с 01.01.2024 по 30.06.2024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будут применяться </w:t>
      </w:r>
      <w:r>
        <w:rPr>
          <w:b w:val="0"/>
          <w:bCs w:val="0"/>
          <w:sz w:val="26"/>
          <w:szCs w:val="26"/>
          <w:highlight w:val="none"/>
        </w:rPr>
        <w:t xml:space="preserve">без роста, </w:t>
      </w:r>
      <w:r>
        <w:rPr>
          <w:b w:val="0"/>
          <w:bCs w:val="0"/>
          <w:sz w:val="26"/>
          <w:szCs w:val="26"/>
          <w:highlight w:val="none"/>
        </w:rPr>
        <w:t xml:space="preserve">с 01.07.2024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с ростом 9,6% к декабрю 2023 года</w:t>
      </w:r>
      <w:r>
        <w:rPr>
          <w:b w:val="0"/>
          <w:bCs w:val="0"/>
          <w:sz w:val="26"/>
          <w:szCs w:val="26"/>
          <w:highlight w:val="none"/>
        </w:rPr>
        <w:t xml:space="preserve">,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ниже </w:t>
      </w:r>
      <w:r>
        <w:rPr>
          <w:sz w:val="26"/>
          <w:szCs w:val="26"/>
          <w:highlight w:val="none"/>
        </w:rPr>
        <w:t xml:space="preserve">единых тарифов</w:t>
      </w:r>
      <w:r>
        <w:rPr>
          <w:sz w:val="26"/>
          <w:szCs w:val="26"/>
          <w:highlight w:val="none"/>
        </w:rPr>
        <w:t xml:space="preserve">,</w:t>
      </w:r>
      <w:r>
        <w:rPr>
          <w:b/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установленных приказом РСТ Югры № </w:t>
      </w:r>
      <w:r>
        <w:rPr>
          <w:sz w:val="26"/>
          <w:szCs w:val="26"/>
          <w:highlight w:val="none"/>
        </w:rPr>
        <w:t xml:space="preserve">132-нп</w:t>
      </w:r>
      <w:r>
        <w:rPr>
          <w:b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tabs>
          <w:tab w:val="left" w:pos="851" w:leader="none"/>
        </w:tabs>
        <w:rPr>
          <w:sz w:val="26"/>
          <w:szCs w:val="26"/>
          <w:highlight w:val="none"/>
          <w14:ligatures w14:val="none"/>
        </w:rPr>
      </w:pPr>
      <w:r>
        <w:rPr>
          <w:sz w:val="26"/>
          <w:szCs w:val="26"/>
          <w:highlight w:val="none"/>
        </w:rPr>
        <w:t xml:space="preserve">Е</w:t>
      </w:r>
      <w:r>
        <w:rPr>
          <w:sz w:val="26"/>
          <w:szCs w:val="26"/>
          <w:highlight w:val="none"/>
        </w:rPr>
        <w:t xml:space="preserve">диные тарифы для населения приняты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приказом регионального оператора по обращению с ТКО АО «Югра-Экология» от 15.12.2023 № 01-06-ЮЭ/0140 </w:t>
      </w:r>
      <w:r>
        <w:rPr>
          <w:sz w:val="26"/>
          <w:szCs w:val="26"/>
          <w:highlight w:val="none"/>
        </w:rPr>
        <w:t xml:space="preserve">«Об установлении цены для населения на 2024 год»</w:t>
      </w:r>
      <w:r>
        <w:rPr>
          <w:color w:val="000000"/>
          <w:sz w:val="26"/>
          <w:szCs w:val="26"/>
          <w:highlight w:val="none"/>
        </w:rPr>
        <w:t xml:space="preserve"> (</w:t>
      </w:r>
      <w:r>
        <w:rPr>
          <w:color w:val="000000"/>
          <w:sz w:val="26"/>
          <w:szCs w:val="26"/>
          <w:highlight w:val="none"/>
        </w:rPr>
        <w:t xml:space="preserve">далее – приказ </w:t>
      </w:r>
      <w:r>
        <w:rPr>
          <w:sz w:val="26"/>
          <w:szCs w:val="26"/>
          <w:highlight w:val="none"/>
        </w:rPr>
        <w:t xml:space="preserve">АО «Югра-Экология»</w:t>
      </w:r>
      <w:r>
        <w:rPr>
          <w:sz w:val="26"/>
          <w:szCs w:val="26"/>
          <w:highlight w:val="none"/>
        </w:rPr>
        <w:t xml:space="preserve"> № 01-06-ЮЭ/0140</w:t>
      </w:r>
      <w:r>
        <w:rPr>
          <w:color w:val="000000"/>
          <w:sz w:val="26"/>
          <w:szCs w:val="26"/>
          <w:highlight w:val="none"/>
        </w:rPr>
        <w:t xml:space="preserve">) на основании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п. 1 ст. 157.1 Ж</w:t>
      </w:r>
      <w:r>
        <w:rPr>
          <w:sz w:val="26"/>
          <w:szCs w:val="26"/>
          <w:highlight w:val="none"/>
        </w:rPr>
        <w:t xml:space="preserve">илищного кодекса Российской Федерации, п. 2 статьи 24.8 Закона № 89-ФЗ</w:t>
      </w:r>
      <w:r>
        <w:rPr>
          <w:sz w:val="26"/>
          <w:szCs w:val="26"/>
          <w:highlight w:val="none"/>
        </w:rPr>
        <w:t xml:space="preserve"> и приказ</w:t>
      </w:r>
      <w:r>
        <w:rPr>
          <w:sz w:val="26"/>
          <w:szCs w:val="26"/>
          <w:highlight w:val="none"/>
        </w:rPr>
        <w:t xml:space="preserve">а Департамента промышленности Ханты-Мансийского автономного округа – Югры от 28.02.2023 № 1-п «</w:t>
      </w:r>
      <w:r>
        <w:rPr>
          <w:sz w:val="26"/>
          <w:szCs w:val="26"/>
          <w:highlight w:val="none"/>
          <w:lang w:val="ru-RU" w:bidi="ru-RU"/>
        </w:rPr>
        <w:t xml:space="preserve">Об утверждении порядков предоставления субсидий из бюджета Ханты-Мансийского автономного округа - Югры юридическим лицам, осущес</w:t>
      </w:r>
      <w:r>
        <w:rPr>
          <w:sz w:val="26"/>
          <w:szCs w:val="26"/>
          <w:highlight w:val="none"/>
          <w:lang w:val="ru-RU" w:bidi="ru-RU"/>
        </w:rPr>
        <w:t xml:space="preserve">твляющим деятельность регионального оператора по обращению с твердыми коммунальными отходами, в целях возмещения недополученных доходов и части затрат, связанных с предоставлением населению коммунальных услуг по обращению с твердыми коммунальными отходам</w:t>
      </w:r>
      <w:r>
        <w:rPr>
          <w:sz w:val="26"/>
          <w:szCs w:val="26"/>
          <w:highlight w:val="none"/>
        </w:rPr>
        <w:t xml:space="preserve">»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spacing w:line="276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Информация об </w:t>
      </w:r>
      <w:r>
        <w:rPr>
          <w:sz w:val="26"/>
          <w:szCs w:val="26"/>
          <w:highlight w:val="none"/>
        </w:rPr>
        <w:t xml:space="preserve">установленных единых тарифах</w:t>
      </w:r>
      <w:r>
        <w:rPr>
          <w:sz w:val="26"/>
          <w:szCs w:val="26"/>
          <w:highlight w:val="none"/>
        </w:rPr>
        <w:t xml:space="preserve"> отражена в протоколе заседания правления РСТ Югры от 14.12.2023 № 65, размещенном на официальном сайте (</w:t>
      </w:r>
      <w:hyperlink r:id="rId13" w:tooltip="http://www.rst.admhmao.ru" w:history="1">
        <w:r>
          <w:rPr>
            <w:rStyle w:val="878"/>
            <w:sz w:val="26"/>
            <w:szCs w:val="26"/>
            <w:highlight w:val="none"/>
          </w:rPr>
          <w:t xml:space="preserve">http://www.rst.admhmao.ru</w:t>
        </w:r>
      </w:hyperlink>
      <w:r>
        <w:rPr>
          <w:sz w:val="26"/>
          <w:szCs w:val="26"/>
          <w:highlight w:val="none"/>
        </w:rPr>
        <w:t xml:space="preserve">) в разделе «Раскрытие информации», в подразделе «В области обращения с ТКО»/ «Информация о протоколах заседания правления»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tabs>
          <w:tab w:val="left" w:pos="851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Размеры установленных экономически обоснованных единых тарифов и тарифов, которые будут применятся для населения представлены в таблице:</w:t>
      </w:r>
      <w:r>
        <w:rPr>
          <w:sz w:val="26"/>
          <w:szCs w:val="26"/>
        </w:rPr>
      </w:r>
      <w:r/>
    </w:p>
    <w:tbl>
      <w:tblPr>
        <w:tblStyle w:val="882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793"/>
        <w:gridCol w:w="1134"/>
        <w:gridCol w:w="1134"/>
        <w:gridCol w:w="850"/>
        <w:gridCol w:w="1134"/>
        <w:gridCol w:w="1134"/>
        <w:gridCol w:w="742"/>
      </w:tblGrid>
      <w:tr>
        <w:trPr/>
        <w:tc>
          <w:tcPr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Наименование муниципального образования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Экономически обоснованный единый тариф по приказу РСТ Югры № 132-нп на 2024 год, руб./м3, с учетом НДС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W w:w="30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Единый тариф для населения по 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приказу </w:t>
            </w:r>
            <w:r>
              <w:rPr>
                <w:sz w:val="22"/>
                <w:szCs w:val="22"/>
                <w:highlight w:val="none"/>
              </w:rPr>
              <w:t xml:space="preserve">АО «Югра-Экология»</w:t>
            </w:r>
            <w:r>
              <w:rPr>
                <w:sz w:val="22"/>
                <w:szCs w:val="22"/>
                <w:highlight w:val="none"/>
              </w:rPr>
              <w:t xml:space="preserve">    № 01-06-ЮЭ/0140 </w:t>
            </w:r>
            <w:r>
              <w:rPr>
                <w:sz w:val="22"/>
                <w:szCs w:val="22"/>
                <w:highlight w:val="none"/>
              </w:rPr>
              <w:t xml:space="preserve">на 2024 год</w:t>
            </w:r>
            <w:r>
              <w:rPr>
                <w:sz w:val="22"/>
                <w:szCs w:val="22"/>
                <w:highlight w:val="none"/>
              </w:rPr>
              <w:t xml:space="preserve">, руб./м3, с учетом НДС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06"/>
        </w:trPr>
        <w:tc>
          <w:tcPr>
            <w:tcW w:w="37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 полугодие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 полугодие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рост,%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 полугодие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 полугодие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рост,%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Северная зона </w:t>
            </w:r>
            <w:r>
              <w:rPr>
                <w:sz w:val="22"/>
                <w:szCs w:val="22"/>
                <w:highlight w:val="none"/>
              </w:rPr>
              <w:t xml:space="preserve">на территории муниципальных образований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городских округов: Нижневартовск, Сургут, Когалым,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Мегион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Лангепас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, Радужный,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Покачи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, муниципальных районов: Белоярский, Березовски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й,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Нижневартовский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Сургутский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821,57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946,85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  <w:highlight w:val="none"/>
              </w:rPr>
              <w:t xml:space="preserve">,25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821,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900,44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9,6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Южная зона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территории муниципальных образований городских округов: Ханты-Мансийск, </w:t>
            </w:r>
            <w:r>
              <w:rPr>
                <w:sz w:val="22"/>
                <w:szCs w:val="22"/>
                <w:highlight w:val="none"/>
              </w:rPr>
              <w:t xml:space="preserve">Нефтеюганск</w:t>
            </w:r>
            <w:r>
              <w:rPr>
                <w:sz w:val="22"/>
                <w:szCs w:val="22"/>
                <w:highlight w:val="none"/>
              </w:rPr>
              <w:t xml:space="preserve">, </w:t>
            </w:r>
            <w:r>
              <w:rPr>
                <w:sz w:val="22"/>
                <w:szCs w:val="22"/>
                <w:highlight w:val="none"/>
              </w:rPr>
              <w:t xml:space="preserve">Нягань</w:t>
            </w:r>
            <w:r>
              <w:rPr>
                <w:sz w:val="22"/>
                <w:szCs w:val="22"/>
                <w:highlight w:val="none"/>
              </w:rPr>
              <w:t xml:space="preserve">, Пыть-Ях, Югорск, муниципальных районов: Октябрьский, Советский, </w:t>
            </w:r>
            <w:r>
              <w:rPr>
                <w:sz w:val="22"/>
                <w:szCs w:val="22"/>
                <w:highlight w:val="none"/>
              </w:rPr>
              <w:t xml:space="preserve">Нефтеюганский</w:t>
            </w:r>
            <w:r>
              <w:rPr>
                <w:sz w:val="22"/>
                <w:szCs w:val="22"/>
                <w:highlight w:val="none"/>
              </w:rPr>
              <w:t xml:space="preserve">, Ханты-Мансийский, </w:t>
            </w:r>
            <w:r>
              <w:rPr>
                <w:sz w:val="22"/>
                <w:szCs w:val="22"/>
                <w:highlight w:val="none"/>
              </w:rPr>
              <w:t xml:space="preserve">Кондинский, </w:t>
            </w:r>
            <w:r>
              <w:rPr>
                <w:sz w:val="22"/>
                <w:szCs w:val="22"/>
                <w:highlight w:val="none"/>
              </w:rPr>
              <w:t xml:space="preserve">в том числе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960,19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1076,95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12,16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832,19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912,08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9,6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 территории муниципального образования городской округ </w:t>
            </w:r>
            <w:r>
              <w:rPr>
                <w:sz w:val="22"/>
                <w:szCs w:val="22"/>
                <w:highlight w:val="none"/>
              </w:rPr>
              <w:t xml:space="preserve">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960,19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1076,95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12,16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645,14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707,07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9,6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ind w:firstLine="709"/>
        <w:jc w:val="both"/>
        <w:spacing w:line="276" w:lineRule="auto"/>
        <w:tabs>
          <w:tab w:val="left" w:pos="851" w:leader="none"/>
        </w:tabs>
        <w:rPr>
          <w:b/>
          <w:bCs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83"/>
        <w:jc w:val="right"/>
      </w:pPr>
      <w:r/>
      <w:r/>
    </w:p>
    <w:p>
      <w:pPr>
        <w:pStyle w:val="883"/>
        <w:jc w:val="right"/>
      </w:pPr>
      <w:r/>
      <w:r/>
    </w:p>
    <w:p>
      <w:pPr>
        <w:pStyle w:val="883"/>
        <w:jc w:val="right"/>
      </w:pPr>
      <w:r/>
      <w:r/>
    </w:p>
    <w:p>
      <w:pPr>
        <w:pStyle w:val="883"/>
        <w:jc w:val="right"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568" w:right="1274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1"/>
    <w:uiPriority w:val="34"/>
    <w:qFormat/>
    <w:pPr>
      <w:contextualSpacing/>
      <w:ind w:left="720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89"/>
    <w:uiPriority w:val="99"/>
  </w:style>
  <w:style w:type="character" w:styleId="726">
    <w:name w:val="Footer Char"/>
    <w:basedOn w:val="872"/>
    <w:link w:val="891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91"/>
    <w:uiPriority w:val="99"/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rPr>
      <w:sz w:val="24"/>
      <w:szCs w:val="24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alloon Text"/>
    <w:basedOn w:val="871"/>
    <w:semiHidden/>
    <w:rPr>
      <w:rFonts w:ascii="Tahoma" w:hAnsi="Tahoma" w:cs="Tahoma"/>
      <w:sz w:val="16"/>
      <w:szCs w:val="16"/>
    </w:rPr>
  </w:style>
  <w:style w:type="paragraph" w:styleId="876" w:customStyle="1">
    <w:name w:val="Название1"/>
    <w:basedOn w:val="871"/>
    <w:link w:val="877"/>
    <w:qFormat/>
    <w:pPr>
      <w:jc w:val="center"/>
    </w:pPr>
    <w:rPr>
      <w:sz w:val="28"/>
      <w:szCs w:val="20"/>
    </w:rPr>
  </w:style>
  <w:style w:type="character" w:styleId="877" w:customStyle="1">
    <w:name w:val="Название Знак"/>
    <w:link w:val="876"/>
    <w:rPr>
      <w:sz w:val="28"/>
    </w:rPr>
  </w:style>
  <w:style w:type="character" w:styleId="878">
    <w:name w:val="Hyperlink"/>
    <w:rPr>
      <w:color w:val="0000ff"/>
      <w:u w:val="single"/>
    </w:rPr>
  </w:style>
  <w:style w:type="paragraph" w:styleId="879">
    <w:name w:val="Body Text"/>
    <w:basedOn w:val="871"/>
    <w:link w:val="880"/>
    <w:pPr>
      <w:spacing w:after="120"/>
    </w:pPr>
  </w:style>
  <w:style w:type="character" w:styleId="880" w:customStyle="1">
    <w:name w:val="Основной текст Знак"/>
    <w:link w:val="879"/>
    <w:rPr>
      <w:sz w:val="24"/>
      <w:szCs w:val="24"/>
    </w:rPr>
  </w:style>
  <w:style w:type="paragraph" w:styleId="881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table" w:styleId="882">
    <w:name w:val="Table Grid"/>
    <w:basedOn w:val="87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>
    <w:name w:val="No Spacing"/>
    <w:uiPriority w:val="1"/>
    <w:qFormat/>
    <w:rPr>
      <w:sz w:val="24"/>
      <w:szCs w:val="24"/>
    </w:rPr>
  </w:style>
  <w:style w:type="character" w:styleId="884" w:customStyle="1">
    <w:name w:val="Основной текст (2)_"/>
    <w:link w:val="885"/>
    <w:rPr>
      <w:b/>
      <w:bCs/>
      <w:sz w:val="27"/>
      <w:szCs w:val="27"/>
      <w:shd w:val="clear" w:color="auto" w:fill="ffffff"/>
    </w:rPr>
  </w:style>
  <w:style w:type="paragraph" w:styleId="885" w:customStyle="1">
    <w:name w:val="Основной текст (2)"/>
    <w:basedOn w:val="871"/>
    <w:link w:val="884"/>
    <w:pPr>
      <w:ind w:firstLine="720"/>
      <w:jc w:val="both"/>
      <w:spacing w:before="300" w:line="331" w:lineRule="exact"/>
      <w:shd w:val="clear" w:color="auto" w:fill="ffffff"/>
    </w:pPr>
    <w:rPr>
      <w:b/>
      <w:bCs/>
      <w:sz w:val="27"/>
      <w:szCs w:val="27"/>
    </w:rPr>
  </w:style>
  <w:style w:type="character" w:styleId="886" w:customStyle="1">
    <w:name w:val="Заголовок №1_"/>
    <w:link w:val="887"/>
    <w:rPr>
      <w:b/>
      <w:bCs/>
      <w:sz w:val="27"/>
      <w:szCs w:val="27"/>
      <w:shd w:val="clear" w:color="auto" w:fill="ffffff"/>
    </w:rPr>
  </w:style>
  <w:style w:type="paragraph" w:styleId="887" w:customStyle="1">
    <w:name w:val="Заголовок №1"/>
    <w:basedOn w:val="871"/>
    <w:link w:val="886"/>
    <w:pPr>
      <w:ind w:firstLine="720"/>
      <w:jc w:val="both"/>
      <w:spacing w:before="180" w:line="317" w:lineRule="exact"/>
      <w:shd w:val="clear" w:color="auto" w:fill="ffffff"/>
      <w:outlineLvl w:val="0"/>
    </w:pPr>
    <w:rPr>
      <w:b/>
      <w:bCs/>
      <w:sz w:val="27"/>
      <w:szCs w:val="27"/>
    </w:rPr>
  </w:style>
  <w:style w:type="paragraph" w:styleId="888" w:customStyle="1">
    <w:name w:val="Default"/>
    <w:rPr>
      <w:color w:val="000000"/>
      <w:sz w:val="24"/>
      <w:szCs w:val="24"/>
    </w:rPr>
  </w:style>
  <w:style w:type="paragraph" w:styleId="889">
    <w:name w:val="Header"/>
    <w:basedOn w:val="871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872"/>
    <w:link w:val="889"/>
    <w:uiPriority w:val="99"/>
    <w:rPr>
      <w:sz w:val="24"/>
      <w:szCs w:val="24"/>
    </w:rPr>
  </w:style>
  <w:style w:type="paragraph" w:styleId="891">
    <w:name w:val="Footer"/>
    <w:basedOn w:val="871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872"/>
    <w:link w:val="891"/>
    <w:uiPriority w:val="99"/>
    <w:rPr>
      <w:sz w:val="24"/>
      <w:szCs w:val="24"/>
    </w:rPr>
  </w:style>
  <w:style w:type="paragraph" w:styleId="893" w:customStyle="1">
    <w:name w:val="ConsPlusNormal"/>
    <w:pPr>
      <w:widowControl w:val="off"/>
    </w:pPr>
    <w:rPr>
      <w:rFonts w:eastAsiaTheme="minorEastAsia"/>
      <w:sz w:val="24"/>
      <w:szCs w:val="24"/>
    </w:rPr>
  </w:style>
  <w:style w:type="paragraph" w:styleId="894">
    <w:name w:val="Normal (Web)"/>
    <w:basedOn w:val="871"/>
    <w:uiPriority w:val="99"/>
    <w:semiHidden/>
    <w:unhideWhenUsed/>
    <w:pPr>
      <w:spacing w:before="100" w:beforeAutospacing="1" w:after="100" w:afterAutospacing="1"/>
    </w:pPr>
  </w:style>
  <w:style w:type="character" w:styleId="895" w:customStyle="1">
    <w:name w:val="title_razdel"/>
  </w:style>
  <w:style w:type="character" w:styleId="896" w:customStyle="1">
    <w:name w:val="Гиперссылка"/>
    <w:rPr>
      <w:color w:val="0000ff"/>
      <w:u w:val="single"/>
    </w:rPr>
  </w:style>
  <w:style w:type="paragraph" w:styleId="897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rst.adm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63A0-884D-4E51-B6F3-06FBB9DA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revision>18</cp:revision>
  <dcterms:created xsi:type="dcterms:W3CDTF">2023-11-22T04:38:00Z</dcterms:created>
  <dcterms:modified xsi:type="dcterms:W3CDTF">2024-01-31T12:48:25Z</dcterms:modified>
</cp:coreProperties>
</file>