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D3" w:rsidRPr="00DD37B5" w:rsidRDefault="003468C6" w:rsidP="00A908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</w:pPr>
      <w:bookmarkStart w:id="0" w:name="_GoBack"/>
      <w:r w:rsidRPr="00DD37B5"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  <w:t xml:space="preserve">Результаты </w:t>
      </w:r>
      <w:r w:rsidR="008461D3" w:rsidRPr="00DD37B5"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  <w:t>2 конкурса 2021 года на предоставление грантов</w:t>
      </w:r>
    </w:p>
    <w:p w:rsidR="008461D3" w:rsidRPr="00DD37B5" w:rsidRDefault="008461D3" w:rsidP="00A908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</w:pPr>
      <w:r w:rsidRPr="00DD37B5"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  <w:t>Губернатора Ханты-Мансийского автономного округа – Югры</w:t>
      </w:r>
    </w:p>
    <w:bookmarkEnd w:id="0"/>
    <w:p w:rsidR="003468C6" w:rsidRPr="003468C6" w:rsidRDefault="003468C6" w:rsidP="003468C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468C6" w:rsidRPr="003468C6" w:rsidRDefault="003468C6" w:rsidP="003468C6">
      <w:pPr>
        <w:spacing w:after="0" w:line="240" w:lineRule="auto"/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</w:rPr>
      </w:pPr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</w:rPr>
        <w:t xml:space="preserve">НКО </w:t>
      </w:r>
      <w:proofErr w:type="spellStart"/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</w:rPr>
        <w:t>г.Нижневартовска</w:t>
      </w:r>
      <w:proofErr w:type="spellEnd"/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  <w:t>заявили</w:t>
      </w:r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</w:rPr>
        <w:t xml:space="preserve"> на конкурс 21 проект от 21 организации на общую сумму более 19 млн. рублей.</w:t>
      </w:r>
    </w:p>
    <w:p w:rsidR="003468C6" w:rsidRPr="003468C6" w:rsidRDefault="003468C6" w:rsidP="003468C6">
      <w:pPr>
        <w:spacing w:after="0" w:line="240" w:lineRule="auto"/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Выиграли – 9 проектов, на общую сумму более 7 </w:t>
      </w:r>
      <w:proofErr w:type="spellStart"/>
      <w:proofErr w:type="gramStart"/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  <w:t>млн.рублей</w:t>
      </w:r>
      <w:proofErr w:type="spellEnd"/>
      <w:proofErr w:type="gramEnd"/>
      <w:r w:rsidRPr="003468C6"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(7 230 730,96).</w:t>
      </w:r>
    </w:p>
    <w:p w:rsidR="003468C6" w:rsidRPr="00DD37B5" w:rsidRDefault="003468C6" w:rsidP="00346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468C6" w:rsidRPr="003468C6" w:rsidRDefault="003468C6" w:rsidP="003468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D37B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ПОБЕДИТЕЛИ</w:t>
      </w:r>
      <w:r w:rsidRPr="003468C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3468C6" w:rsidRDefault="003468C6" w:rsidP="00A908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3946"/>
        <w:gridCol w:w="3568"/>
        <w:gridCol w:w="1551"/>
        <w:gridCol w:w="2408"/>
        <w:gridCol w:w="3412"/>
      </w:tblGrid>
      <w:tr w:rsidR="008461D3" w:rsidRPr="00BE4DD8" w:rsidTr="008461D3">
        <w:trPr>
          <w:trHeight w:val="953"/>
        </w:trPr>
        <w:tc>
          <w:tcPr>
            <w:tcW w:w="674" w:type="dxa"/>
          </w:tcPr>
          <w:p w:rsidR="008461D3" w:rsidRPr="00BE4DD8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6" w:type="dxa"/>
          </w:tcPr>
          <w:p w:rsidR="008461D3" w:rsidRPr="00BE4DD8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Грантополучатель</w:t>
            </w:r>
            <w:proofErr w:type="spellEnd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наименование НКО</w:t>
            </w:r>
          </w:p>
        </w:tc>
        <w:tc>
          <w:tcPr>
            <w:tcW w:w="3568" w:type="dxa"/>
          </w:tcPr>
          <w:p w:rsidR="008461D3" w:rsidRPr="00BE4DD8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 - победителя</w:t>
            </w:r>
          </w:p>
        </w:tc>
        <w:tc>
          <w:tcPr>
            <w:tcW w:w="1551" w:type="dxa"/>
          </w:tcPr>
          <w:p w:rsidR="008461D3" w:rsidRPr="00C05F4E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</w:t>
            </w:r>
          </w:p>
          <w:p w:rsidR="008461D3" w:rsidRPr="00C05F4E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="008461D3"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ранта</w:t>
            </w:r>
          </w:p>
          <w:p w:rsidR="00C05F4E" w:rsidRPr="00C05F4E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408" w:type="dxa"/>
          </w:tcPr>
          <w:p w:rsidR="008461D3" w:rsidRPr="00C05F4E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8461D3" w:rsidRPr="00C05F4E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сумма проекта</w:t>
            </w:r>
            <w:r w:rsid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5F4E"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C05F4E"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="00C05F4E"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412" w:type="dxa"/>
          </w:tcPr>
          <w:p w:rsidR="008461D3" w:rsidRPr="00BE4DD8" w:rsidRDefault="008461D3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Грантовое</w:t>
            </w:r>
            <w:proofErr w:type="spellEnd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направление проекта</w:t>
            </w:r>
          </w:p>
        </w:tc>
      </w:tr>
      <w:tr w:rsidR="008461D3" w:rsidRPr="00BE4DD8" w:rsidTr="008461D3">
        <w:trPr>
          <w:trHeight w:val="953"/>
        </w:trPr>
        <w:tc>
          <w:tcPr>
            <w:tcW w:w="674" w:type="dxa"/>
          </w:tcPr>
          <w:p w:rsidR="008461D3" w:rsidRPr="00C10A18" w:rsidRDefault="008461D3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Pr="00C10A18" w:rsidRDefault="008461D3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"Центр социализации и реабилитации людей с ограниченными возможностями 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"В Зазеркалье"</w:t>
            </w:r>
          </w:p>
        </w:tc>
        <w:tc>
          <w:tcPr>
            <w:tcW w:w="3568" w:type="dxa"/>
          </w:tcPr>
          <w:p w:rsidR="008461D3" w:rsidRPr="00C10A18" w:rsidRDefault="008461D3" w:rsidP="00C10A18">
            <w:pPr>
              <w:jc w:val="both"/>
              <w:outlineLvl w:val="1"/>
              <w:rPr>
                <w:rStyle w:val="layou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комплексной психолого-педагогической поддержки для детей с расстройством аутистического спектра и другими ментальными нарушениями в городе </w:t>
            </w:r>
            <w:proofErr w:type="spellStart"/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</w:t>
            </w:r>
            <w:proofErr w:type="spellEnd"/>
          </w:p>
        </w:tc>
        <w:tc>
          <w:tcPr>
            <w:tcW w:w="1551" w:type="dxa"/>
          </w:tcPr>
          <w:p w:rsidR="008461D3" w:rsidRPr="00C10A18" w:rsidRDefault="008461D3" w:rsidP="00C10A18">
            <w:pPr>
              <w:jc w:val="both"/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500 000,00  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461D3" w:rsidRPr="00C10A18" w:rsidRDefault="008461D3" w:rsidP="00C10A18">
            <w:pPr>
              <w:jc w:val="both"/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2 125 540,00 / 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>2 625 540,00</w:t>
            </w:r>
          </w:p>
        </w:tc>
        <w:tc>
          <w:tcPr>
            <w:tcW w:w="3412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8461D3" w:rsidRPr="00BE4DD8" w:rsidTr="008461D3">
        <w:trPr>
          <w:trHeight w:val="953"/>
        </w:trPr>
        <w:tc>
          <w:tcPr>
            <w:tcW w:w="674" w:type="dxa"/>
          </w:tcPr>
          <w:p w:rsidR="008461D3" w:rsidRPr="00C10A18" w:rsidRDefault="008461D3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Региональный благотворительный фонд помощи детям "Лучик света"</w:t>
            </w:r>
          </w:p>
        </w:tc>
        <w:tc>
          <w:tcPr>
            <w:tcW w:w="3568" w:type="dxa"/>
          </w:tcPr>
          <w:p w:rsidR="008461D3" w:rsidRPr="00C10A18" w:rsidRDefault="008461D3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медицинской реабилитации "</w:t>
            </w:r>
            <w:proofErr w:type="spellStart"/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Ютта</w:t>
            </w:r>
            <w:proofErr w:type="spellEnd"/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2 407 859,63 </w:t>
            </w:r>
          </w:p>
        </w:tc>
        <w:tc>
          <w:tcPr>
            <w:tcW w:w="2408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>8 927 026,00 / 11 334 885,63</w:t>
            </w:r>
          </w:p>
        </w:tc>
        <w:tc>
          <w:tcPr>
            <w:tcW w:w="3412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8461D3" w:rsidRPr="00BE4DD8" w:rsidTr="008461D3">
        <w:trPr>
          <w:trHeight w:val="953"/>
        </w:trPr>
        <w:tc>
          <w:tcPr>
            <w:tcW w:w="674" w:type="dxa"/>
          </w:tcPr>
          <w:p w:rsidR="008461D3" w:rsidRPr="00C10A18" w:rsidRDefault="008461D3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Pr="00C10A18" w:rsidRDefault="008461D3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"Инклюзивный социально-творческий центр "</w:t>
            </w:r>
            <w:proofErr w:type="spellStart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САМиТ</w:t>
            </w:r>
            <w:proofErr w:type="spellEnd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8461D3" w:rsidRPr="00C10A18" w:rsidRDefault="008461D3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 - студия "Сердцем творящие" - гончарное направление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876 913,00 </w:t>
            </w:r>
          </w:p>
        </w:tc>
        <w:tc>
          <w:tcPr>
            <w:tcW w:w="2408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>590 385,0 / 1 467 298,0</w:t>
            </w:r>
          </w:p>
        </w:tc>
        <w:tc>
          <w:tcPr>
            <w:tcW w:w="3412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8461D3" w:rsidRPr="00BE4DD8" w:rsidTr="008461D3">
        <w:trPr>
          <w:trHeight w:val="953"/>
        </w:trPr>
        <w:tc>
          <w:tcPr>
            <w:tcW w:w="674" w:type="dxa"/>
          </w:tcPr>
          <w:p w:rsidR="008461D3" w:rsidRPr="00C10A18" w:rsidRDefault="008461D3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 городская местная общественная организация "Молдавский национально-культурный центр "НУФЭРУЛ АЛБ" ("БЕЛАЯ ЛИЛИЯ")</w:t>
            </w:r>
          </w:p>
        </w:tc>
        <w:tc>
          <w:tcPr>
            <w:tcW w:w="3568" w:type="dxa"/>
          </w:tcPr>
          <w:p w:rsidR="008461D3" w:rsidRPr="00C10A18" w:rsidRDefault="008461D3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Мэрцишор</w:t>
            </w:r>
            <w:proofErr w:type="spellEnd"/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легенды к традиции</w:t>
            </w:r>
          </w:p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648 755,20  </w:t>
            </w:r>
          </w:p>
        </w:tc>
        <w:tc>
          <w:tcPr>
            <w:tcW w:w="2408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696 619,07 / 1 345 374,27</w:t>
            </w:r>
          </w:p>
        </w:tc>
        <w:tc>
          <w:tcPr>
            <w:tcW w:w="3412" w:type="dxa"/>
          </w:tcPr>
          <w:p w:rsidR="008461D3" w:rsidRPr="00C10A18" w:rsidRDefault="008461D3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C10A18" w:rsidRPr="00BE4DD8" w:rsidTr="008461D3">
        <w:trPr>
          <w:trHeight w:val="953"/>
        </w:trPr>
        <w:tc>
          <w:tcPr>
            <w:tcW w:w="674" w:type="dxa"/>
          </w:tcPr>
          <w:p w:rsidR="00C10A18" w:rsidRPr="00C10A18" w:rsidRDefault="00C10A18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0A18" w:rsidRPr="00C10A18" w:rsidRDefault="00C10A18" w:rsidP="00C10A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ассоциация русской культуры "Славяне Сибири"</w:t>
            </w:r>
          </w:p>
        </w:tc>
        <w:tc>
          <w:tcPr>
            <w:tcW w:w="3568" w:type="dxa"/>
          </w:tcPr>
          <w:p w:rsidR="00C10A18" w:rsidRPr="00C10A18" w:rsidRDefault="00C10A18" w:rsidP="00C10A18">
            <w:pPr>
              <w:jc w:val="both"/>
              <w:outlineLvl w:val="1"/>
              <w:rPr>
                <w:rStyle w:val="layou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национальных культур "Юная Краса нации"</w:t>
            </w:r>
          </w:p>
        </w:tc>
        <w:tc>
          <w:tcPr>
            <w:tcW w:w="1551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430 642,0 </w:t>
            </w:r>
          </w:p>
        </w:tc>
        <w:tc>
          <w:tcPr>
            <w:tcW w:w="2408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310 977,74 / 741 619,74</w:t>
            </w:r>
          </w:p>
        </w:tc>
        <w:tc>
          <w:tcPr>
            <w:tcW w:w="3412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C10A18" w:rsidRPr="00BE4DD8" w:rsidTr="008461D3">
        <w:trPr>
          <w:trHeight w:val="953"/>
        </w:trPr>
        <w:tc>
          <w:tcPr>
            <w:tcW w:w="674" w:type="dxa"/>
          </w:tcPr>
          <w:p w:rsidR="00C10A18" w:rsidRPr="00C10A18" w:rsidRDefault="00C10A18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</w:t>
            </w:r>
          </w:p>
        </w:tc>
        <w:tc>
          <w:tcPr>
            <w:tcW w:w="3568" w:type="dxa"/>
          </w:tcPr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мир спорта</w:t>
            </w:r>
          </w:p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398 455,93  </w:t>
            </w:r>
          </w:p>
        </w:tc>
        <w:tc>
          <w:tcPr>
            <w:tcW w:w="2408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488 029,20 / 886 485,13</w:t>
            </w:r>
          </w:p>
        </w:tc>
        <w:tc>
          <w:tcPr>
            <w:tcW w:w="3412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</w:tr>
      <w:tr w:rsidR="00C10A18" w:rsidRPr="00BE4DD8" w:rsidTr="008461D3">
        <w:trPr>
          <w:trHeight w:val="953"/>
        </w:trPr>
        <w:tc>
          <w:tcPr>
            <w:tcW w:w="674" w:type="dxa"/>
          </w:tcPr>
          <w:p w:rsidR="00C10A18" w:rsidRPr="00C10A18" w:rsidRDefault="00C10A18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"Центр коренных народов севера "</w:t>
            </w:r>
            <w:proofErr w:type="spellStart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Тор-Най</w:t>
            </w:r>
            <w:proofErr w:type="spellEnd"/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 (Огница)"</w:t>
            </w:r>
          </w:p>
        </w:tc>
        <w:tc>
          <w:tcPr>
            <w:tcW w:w="3568" w:type="dxa"/>
          </w:tcPr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Передвижная интерактивная выставка "Времен связующая нить"</w:t>
            </w:r>
          </w:p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979 084,20  </w:t>
            </w:r>
          </w:p>
        </w:tc>
        <w:tc>
          <w:tcPr>
            <w:tcW w:w="2408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1 083 102,80 / 2 062 187,0</w:t>
            </w:r>
          </w:p>
        </w:tc>
        <w:tc>
          <w:tcPr>
            <w:tcW w:w="3412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C10A18" w:rsidRPr="00BE4DD8" w:rsidTr="008461D3">
        <w:trPr>
          <w:trHeight w:val="953"/>
        </w:trPr>
        <w:tc>
          <w:tcPr>
            <w:tcW w:w="674" w:type="dxa"/>
          </w:tcPr>
          <w:p w:rsidR="00C10A18" w:rsidRPr="00C10A18" w:rsidRDefault="00C10A18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3568" w:type="dxa"/>
          </w:tcPr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инклюзивный театральный лагерь</w:t>
            </w:r>
          </w:p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490 641,00</w:t>
            </w:r>
          </w:p>
        </w:tc>
        <w:tc>
          <w:tcPr>
            <w:tcW w:w="2408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211 935,00 /  702 576,00</w:t>
            </w:r>
          </w:p>
        </w:tc>
        <w:tc>
          <w:tcPr>
            <w:tcW w:w="3412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C10A18" w:rsidRPr="00BE4DD8" w:rsidTr="008461D3">
        <w:trPr>
          <w:trHeight w:val="953"/>
        </w:trPr>
        <w:tc>
          <w:tcPr>
            <w:tcW w:w="674" w:type="dxa"/>
          </w:tcPr>
          <w:p w:rsidR="00C10A18" w:rsidRPr="00C10A18" w:rsidRDefault="00C10A18" w:rsidP="00C10A1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центр психолого-педагогической реабилитации и коррекции "Перспектива"</w:t>
            </w:r>
          </w:p>
        </w:tc>
        <w:tc>
          <w:tcPr>
            <w:tcW w:w="3568" w:type="dxa"/>
          </w:tcPr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Сенсорная интеграция в системе комплексной психолого-педагогической и социальной реабилитации детей с ограниченными возможностями здоровья и детей-инвалидов</w:t>
            </w:r>
          </w:p>
          <w:p w:rsidR="00C10A18" w:rsidRPr="00C10A18" w:rsidRDefault="00C10A18" w:rsidP="00C10A18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10A18" w:rsidRPr="00C10A18" w:rsidRDefault="00C10A18" w:rsidP="00C10A1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498 380,00</w:t>
            </w:r>
          </w:p>
        </w:tc>
        <w:tc>
          <w:tcPr>
            <w:tcW w:w="2408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791 654,40 / 1 290 034,40</w:t>
            </w:r>
          </w:p>
        </w:tc>
        <w:tc>
          <w:tcPr>
            <w:tcW w:w="3412" w:type="dxa"/>
          </w:tcPr>
          <w:p w:rsidR="00C10A18" w:rsidRPr="00C10A18" w:rsidRDefault="00C10A18" w:rsidP="00C10A18">
            <w:pPr>
              <w:jc w:val="both"/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  <w:r w:rsidRPr="00C10A1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</w:tbl>
    <w:p w:rsidR="00C05F4E" w:rsidRDefault="00C05F4E" w:rsidP="00A90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F01F42" w:rsidRPr="00F01F42" w:rsidRDefault="00F01F42" w:rsidP="00F01F4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01F42" w:rsidRPr="00F01F42" w:rsidSect="00BE4D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AE5"/>
    <w:multiLevelType w:val="hybridMultilevel"/>
    <w:tmpl w:val="0038D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1E3F35"/>
    <w:multiLevelType w:val="hybridMultilevel"/>
    <w:tmpl w:val="096A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3B9D"/>
    <w:multiLevelType w:val="hybridMultilevel"/>
    <w:tmpl w:val="7DF6E2BC"/>
    <w:lvl w:ilvl="0" w:tplc="CED8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E91217"/>
    <w:multiLevelType w:val="hybridMultilevel"/>
    <w:tmpl w:val="C580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A"/>
    <w:rsid w:val="002218AF"/>
    <w:rsid w:val="003468C6"/>
    <w:rsid w:val="003B51E6"/>
    <w:rsid w:val="008461D3"/>
    <w:rsid w:val="00A90820"/>
    <w:rsid w:val="00AD738B"/>
    <w:rsid w:val="00AE78EA"/>
    <w:rsid w:val="00BE4DD8"/>
    <w:rsid w:val="00C05F4E"/>
    <w:rsid w:val="00C10A18"/>
    <w:rsid w:val="00C86944"/>
    <w:rsid w:val="00DD37B5"/>
    <w:rsid w:val="00F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D3568-27ED-499F-88FD-426AAF3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4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-infolist-item-text">
    <w:name w:val="winner-info__list-item-text"/>
    <w:basedOn w:val="a0"/>
    <w:rsid w:val="00BE4DD8"/>
  </w:style>
  <w:style w:type="character" w:customStyle="1" w:styleId="circle-barinfo-item-number">
    <w:name w:val="circle-bar__info-item-number"/>
    <w:basedOn w:val="a0"/>
    <w:rsid w:val="00BE4DD8"/>
  </w:style>
  <w:style w:type="character" w:customStyle="1" w:styleId="rubl">
    <w:name w:val="rubl"/>
    <w:basedOn w:val="a0"/>
    <w:rsid w:val="00BE4DD8"/>
  </w:style>
  <w:style w:type="table" w:customStyle="1" w:styleId="1">
    <w:name w:val="Сетка таблицы1"/>
    <w:basedOn w:val="a1"/>
    <w:next w:val="a3"/>
    <w:uiPriority w:val="59"/>
    <w:rsid w:val="00C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3B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1D3"/>
    <w:pPr>
      <w:ind w:left="720"/>
      <w:contextualSpacing/>
    </w:pPr>
  </w:style>
  <w:style w:type="character" w:customStyle="1" w:styleId="layout">
    <w:name w:val="layout"/>
    <w:basedOn w:val="a0"/>
    <w:rsid w:val="008461D3"/>
  </w:style>
  <w:style w:type="table" w:customStyle="1" w:styleId="3">
    <w:name w:val="Сетка таблицы3"/>
    <w:basedOn w:val="a1"/>
    <w:next w:val="a3"/>
    <w:uiPriority w:val="59"/>
    <w:rsid w:val="00C1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0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6</cp:revision>
  <dcterms:created xsi:type="dcterms:W3CDTF">2022-01-24T05:24:00Z</dcterms:created>
  <dcterms:modified xsi:type="dcterms:W3CDTF">2022-06-10T11:03:00Z</dcterms:modified>
</cp:coreProperties>
</file>