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2566670</wp:posOffset>
                </wp:positionH>
                <wp:positionV relativeFrom="paragraph">
                  <wp:posOffset>-142875</wp:posOffset>
                </wp:positionV>
                <wp:extent cx="676800" cy="612000"/>
                <wp:effectExtent l="0" t="0" r="0" b="0"/>
                <wp:wrapTopAndBottom/>
                <wp:docPr id="1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76800" cy="61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66432;o:allowoverlap:true;o:allowincell:true;mso-position-horizontal-relative:margin;margin-left:202.10pt;mso-position-horizontal:absolute;mso-position-vertical-relative:text;margin-top:-11.25pt;mso-position-vertical:absolute;width:53.29pt;height:48.19pt;mso-wrap-distance-left:9.00pt;mso-wrap-distance-top:0.00pt;mso-wrap-distance-right:9.00pt;mso-wrap-distance-bottom:0.00pt;" stroked="f">
                <v:path textboxrect="0,0,0,0"/>
                <w10:wrap type="topAndBottom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sz w:val="26"/>
        </w:rPr>
      </w:r>
      <w:r>
        <w:rPr>
          <w:rFonts w:ascii="Times New Roman" w:hAnsi="Times New Roman"/>
          <w:sz w:val="26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ДЕПАРТАМЕНТ ТРУДА И ЗАНЯТОСТИ НАСЕЛЕНИЯ</w:t>
      </w:r>
      <w:r>
        <w:rPr>
          <w:rFonts w:ascii="Times New Roman" w:hAnsi="Times New Roman"/>
          <w:b/>
          <w:sz w:val="28"/>
          <w:szCs w:val="28"/>
        </w:rPr>
        <w:br/>
        <w:t xml:space="preserve">ХАНТЫ-МАНСИЙСКОГО АВТОНОМНОГО ОКРУГА – ЮГРЫ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tbl>
      <w:tblPr>
        <w:tblW w:w="9214" w:type="dxa"/>
        <w:tblLayout w:type="fixed"/>
        <w:tblLook w:val="0000" w:firstRow="0" w:lastRow="0" w:firstColumn="0" w:lastColumn="0" w:noHBand="0" w:noVBand="0"/>
      </w:tblPr>
      <w:tblGrid>
        <w:gridCol w:w="4820"/>
        <w:gridCol w:w="4394"/>
      </w:tblGrid>
      <w:tr>
        <w:tblPrEx/>
        <w:trPr>
          <w:trHeight w:val="675"/>
        </w:trPr>
        <w:tc>
          <w:tcPr>
            <w:tcBorders>
              <w:bottom w:val="single" w:color="000000" w:sz="18" w:space="0"/>
            </w:tcBorders>
            <w:tcW w:w="482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Карла Маркса, дом 12, г. Ханты-Мансийск,</w:t>
            </w:r>
            <w:r>
              <w:rPr>
                <w:rFonts w:ascii="Times New Roman" w:hAnsi="Times New Roman"/>
              </w:rPr>
              <w:br/>
              <w:t xml:space="preserve">Ханты-Мансийский автономный округ - Югра,</w:t>
            </w:r>
            <w:r>
              <w:rPr>
                <w:rFonts w:ascii="Times New Roman" w:hAnsi="Times New Roman"/>
              </w:rPr>
              <w:br/>
              <w:t xml:space="preserve">(Тюменская область), 628012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bottom w:val="single" w:color="000000" w:sz="18" w:space="0"/>
            </w:tcBorders>
            <w:tcW w:w="439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Телефон: 8(3467) 33-16-09</w:t>
            </w:r>
            <w:r>
              <w:rPr>
                <w:rFonts w:ascii="Times New Roman" w:hAnsi="Times New Roman"/>
              </w:rPr>
              <w:br/>
              <w:t xml:space="preserve">Факс: 8(3467) 33-08-09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lang w:val="en-US"/>
              </w:rPr>
              <w:t xml:space="preserve">E</w:t>
            </w: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  <w:lang w:val="en-US"/>
              </w:rPr>
              <w:t xml:space="preserve">mail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  <w:lang w:val="en-US"/>
              </w:rPr>
              <w:t xml:space="preserve">dtzn</w:t>
            </w:r>
            <w:r>
              <w:rPr>
                <w:rFonts w:ascii="Times New Roman" w:hAnsi="Times New Roman"/>
              </w:rPr>
              <w:t xml:space="preserve">@</w:t>
            </w:r>
            <w:r>
              <w:rPr>
                <w:rFonts w:ascii="Times New Roman" w:hAnsi="Times New Roman"/>
                <w:lang w:val="en-US"/>
              </w:rPr>
              <w:t xml:space="preserve">admhmao</w:t>
            </w:r>
            <w:r>
              <w:rPr>
                <w:rFonts w:ascii="Times New Roman" w:hAnsi="Times New Roman"/>
              </w:rPr>
              <w:t xml:space="preserve">.</w:t>
            </w:r>
            <w:r>
              <w:rPr>
                <w:rFonts w:ascii="Times New Roman" w:hAnsi="Times New Roman"/>
                <w:lang w:val="en-US"/>
              </w:rPr>
              <w:t xml:space="preserve">ru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jc w:val="center"/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25200</wp:posOffset>
                </wp:positionV>
                <wp:extent cx="5850000" cy="0"/>
                <wp:effectExtent l="3174" t="3174" r="3174" b="3174"/>
                <wp:wrapNone/>
                <wp:docPr id="2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50000" cy="0"/>
                        </a:xfrm>
                        <a:prstGeom prst="line">
                          <a:avLst/>
                        </a:prstGeom>
                        <a:noFill/>
                        <a:ln w="6349" cmpd="thickThin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" o:spid="_x0000_s1" style="position:absolute;left:0;text-align:left;z-index:251665408;mso-wrap-distance-left:9.00pt;mso-wrap-distance-top:0.00pt;mso-wrap-distance-right:9.00pt;mso-wrap-distance-bottom:0.00pt;visibility:visible;" from="0.0pt,2.0pt" to="460.6pt,2.0pt" filled="f" strokecolor="#000000" strokeweight="0.50pt">
                <v:stroke dashstyle="solid"/>
              </v:line>
            </w:pict>
          </mc:Fallback>
        </mc:AlternateContent>
      </w:r>
      <w:r/>
    </w:p>
    <w:tbl>
      <w:tblPr>
        <w:tblStyle w:val="919"/>
        <w:tblW w:w="9072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969"/>
        <w:gridCol w:w="5103"/>
      </w:tblGrid>
      <w:tr>
        <w:tblPrEx/>
        <w:trPr/>
        <w:tc>
          <w:tcPr>
            <w:tcW w:w="39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 xml:space="preserve">[Номер документа]</w:t>
            </w:r>
            <w:r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  <w:lang w:val="en-US"/>
              </w:rPr>
              <w:t xml:space="preserve">[</w:t>
            </w:r>
            <w:r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 xml:space="preserve">Дата документа</w:t>
            </w:r>
            <w:r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  <w:lang w:val="en-US"/>
              </w:rPr>
              <w:t xml:space="preserve">]</w:t>
            </w:r>
            <w:r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  <w:lang w:val="en-US"/>
              </w:rPr>
            </w:r>
            <w:r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  <w:lang w:val="en-US"/>
              </w:rPr>
            </w:r>
          </w:p>
          <w:p>
            <w:pPr>
              <w:tabs>
                <w:tab w:val="right" w:pos="478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ind w:left="70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contextualSpacing/>
        <w:jc w:val="center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Пояснительная записка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5"/>
        <w:contextualSpacing/>
        <w:jc w:val="center"/>
        <w:spacing w:after="0" w:afterAutospacing="0" w:line="240" w:lineRule="auto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к проекту постановления Губернатора Ханты-Мансийского 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935"/>
        <w:contextualSpacing/>
        <w:jc w:val="center"/>
        <w:spacing w:after="0" w:afterAutospacing="0" w:line="240" w:lineRule="auto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автономного округа – Югры «Об установлении на 202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7 год запрета на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contextualSpacing/>
        <w:jc w:val="center"/>
        <w:spacing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привлечение хозяйствующими субъектами, осуществляющими деятельность в Ханты-Мансийском автономном округе – Югре, иностранных граждан, осуществляющих трудовую деятельность на основании патентов, по отдельным видам экономической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деятельности»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5"/>
        <w:contextualSpacing/>
        <w:spacing w:after="0" w:afterAutospacing="0" w:line="240" w:lineRule="auto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935"/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b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Проект постановления Губернатора Ханты-Мансийского автономного округа – Югры (далее – автономный округ) «Об установлении на 202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7 год запрета на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привлечение хозяйствующими субъектами, осуществляющими деятельность в Ханты-Мансийском автономном округе – Югре, иностранных граждан, осуществляющих трудовую деятельность на основании патентов, по отдельным видам экономической деятельности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» (далее – Проект, запрет) подготовлен в соответствии с пунктом 6 статьи 18.1</w:t>
      </w:r>
      <w:r>
        <w:rPr>
          <w:rFonts w:ascii="Times New Roman" w:hAnsi="Times New Roman" w:eastAsia="Times New Roman" w:cs="Times New Roman"/>
          <w:b w:val="0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Федерального закона от 25.07.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2002 № 115-ФЗ «О правовом положении иностранных граждан в Российской Федерации» (далее – Федеральный закон 115-ФЗ), постановлением Правительства Российской Федерации от 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0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7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.12.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2015 № 1327 «Об утверждении Правил определения срока приведения хозяйствующими субъектами</w:t>
      </w:r>
      <w:r>
        <w:rPr>
          <w:rFonts w:ascii="Times New Roman" w:hAnsi="Times New Roman" w:eastAsia="Times New Roman" w:cs="Times New Roman"/>
          <w:b w:val="0"/>
          <w:spacing w:val="20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осуществляющими деятельность на территории субъекта Российской Федерации, численности используемых ими иностранных работников в соответствии с запретом на привлечение такими хозяйствующими субъектами иностранных граждан, осуществляющих трудов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ую деятельность на основании патентов, по отдельным видам экономической деятельности, установленным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Федерации)»</w:t>
      </w:r>
      <w:r>
        <w:rPr>
          <w:rFonts w:ascii="Times New Roman" w:hAnsi="Times New Roman" w:eastAsia="Times New Roman" w:cs="Times New Roman"/>
          <w:b w:val="0"/>
          <w:sz w:val="28"/>
          <w:szCs w:val="28"/>
          <w:highlight w:val="white"/>
        </w:rPr>
        <w:t xml:space="preserve"> (далее – Постановление Правительства № 1327).</w:t>
      </w:r>
      <w:r>
        <w:rPr>
          <w:rFonts w:ascii="Times New Roman" w:hAnsi="Times New Roman" w:cs="Times New Roman"/>
          <w:b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sz w:val="28"/>
          <w:szCs w:val="28"/>
          <w:highlight w:val="white"/>
        </w:rPr>
      </w:r>
    </w:p>
    <w:p>
      <w:pPr>
        <w:contextualSpacing/>
        <w:ind w:left="0" w:right="0" w:firstLine="709"/>
        <w:jc w:val="both"/>
        <w:spacing w:after="0" w:afterAutospacing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 w:val="0"/>
          <w:sz w:val="28"/>
          <w:szCs w:val="28"/>
          <w:highlight w:val="white"/>
        </w:rPr>
        <w:t xml:space="preserve">Проектом предлагается продлить </w:t>
      </w:r>
      <w:r>
        <w:rPr>
          <w:rFonts w:ascii="Times New Roman" w:hAnsi="Times New Roman" w:eastAsia="Times New Roman" w:cs="Times New Roman"/>
          <w:b w:val="0"/>
          <w:sz w:val="28"/>
          <w:szCs w:val="28"/>
          <w:highlight w:val="white"/>
        </w:rPr>
        <w:t xml:space="preserve">на 202</w:t>
      </w:r>
      <w:r>
        <w:rPr>
          <w:rFonts w:ascii="Times New Roman" w:hAnsi="Times New Roman" w:eastAsia="Times New Roman" w:cs="Times New Roman"/>
          <w:b w:val="0"/>
          <w:sz w:val="28"/>
          <w:szCs w:val="28"/>
          <w:highlight w:val="white"/>
        </w:rPr>
        <w:t xml:space="preserve">7 год </w:t>
      </w:r>
      <w:r>
        <w:rPr>
          <w:rFonts w:ascii="Times New Roman" w:hAnsi="Times New Roman" w:eastAsia="Times New Roman" w:cs="Times New Roman"/>
          <w:b w:val="0"/>
          <w:sz w:val="28"/>
          <w:szCs w:val="28"/>
          <w:highlight w:val="white"/>
        </w:rPr>
        <w:t xml:space="preserve">действие запретов</w:t>
      </w:r>
      <w:r>
        <w:rPr>
          <w:rFonts w:ascii="Times New Roman" w:hAnsi="Times New Roman" w:eastAsia="Times New Roman" w:cs="Times New Roman"/>
          <w:b w:val="0"/>
          <w:sz w:val="28"/>
          <w:szCs w:val="28"/>
          <w:highlight w:val="white"/>
        </w:rPr>
        <w:t xml:space="preserve">, установленных постановлением Губернатора автономного округа от </w:t>
      </w:r>
      <w:r>
        <w:rPr>
          <w:rFonts w:ascii="Times New Roman" w:hAnsi="Times New Roman" w:eastAsia="Times New Roman" w:cs="Times New Roman"/>
          <w:b w:val="0"/>
          <w:sz w:val="28"/>
          <w:szCs w:val="28"/>
          <w:highlight w:val="white"/>
        </w:rPr>
        <w:t xml:space="preserve">25</w:t>
      </w:r>
      <w:r>
        <w:rPr>
          <w:rFonts w:ascii="Times New Roman" w:hAnsi="Times New Roman" w:eastAsia="Times New Roman" w:cs="Times New Roman"/>
          <w:b w:val="0"/>
          <w:sz w:val="28"/>
          <w:szCs w:val="28"/>
          <w:highlight w:val="white"/>
        </w:rPr>
        <w:t xml:space="preserve">.11.2025 </w:t>
      </w:r>
      <w:r>
        <w:rPr>
          <w:rFonts w:ascii="Times New Roman" w:hAnsi="Times New Roman" w:eastAsia="Times New Roman" w:cs="Times New Roman"/>
          <w:b w:val="0"/>
          <w:sz w:val="28"/>
          <w:szCs w:val="28"/>
          <w:highlight w:val="white"/>
        </w:rPr>
        <w:t xml:space="preserve">№ 131</w:t>
      </w:r>
      <w:r>
        <w:rPr>
          <w:rFonts w:ascii="Times New Roman" w:hAnsi="Times New Roman" w:eastAsia="Times New Roman" w:cs="Times New Roman"/>
          <w:b w:val="0"/>
          <w:sz w:val="28"/>
          <w:szCs w:val="28"/>
          <w:highlight w:val="white"/>
        </w:rPr>
        <w:t xml:space="preserve"> на 202</w:t>
      </w:r>
      <w:r>
        <w:rPr>
          <w:rFonts w:ascii="Times New Roman" w:hAnsi="Times New Roman" w:eastAsia="Times New Roman" w:cs="Times New Roman"/>
          <w:b w:val="0"/>
          <w:sz w:val="28"/>
          <w:szCs w:val="28"/>
          <w:highlight w:val="white"/>
        </w:rPr>
        <w:t xml:space="preserve">6 год</w:t>
      </w:r>
      <w:r>
        <w:rPr>
          <w:rFonts w:ascii="Times New Roman" w:hAnsi="Times New Roman" w:eastAsia="Times New Roman" w:cs="Times New Roman"/>
          <w:b w:val="0"/>
          <w:sz w:val="28"/>
          <w:szCs w:val="28"/>
          <w:highlight w:val="white"/>
        </w:rPr>
        <w:t xml:space="preserve"> и доп</w:t>
      </w:r>
      <w:r>
        <w:rPr>
          <w:rFonts w:ascii="Times New Roman" w:hAnsi="Times New Roman" w:eastAsia="Times New Roman" w:cs="Times New Roman"/>
          <w:b w:val="0"/>
          <w:sz w:val="28"/>
          <w:szCs w:val="28"/>
          <w:highlight w:val="white"/>
        </w:rPr>
        <w:t xml:space="preserve">олнить тремя новыми видами деятельности, связанными с производством хлеба и мучных кондитерских изделий, деятельности по складированию и хранению (включая пункты выдачи заказов) и деятельности в области культуры, спорта, организации досуга (см. приложение)</w:t>
      </w:r>
      <w:r>
        <w:rPr>
          <w:rFonts w:ascii="Times New Roman" w:hAnsi="Times New Roman" w:eastAsia="Times New Roman" w:cs="Times New Roman"/>
          <w:b w:val="0"/>
          <w:sz w:val="28"/>
          <w:szCs w:val="28"/>
          <w:highlight w:val="white"/>
        </w:rPr>
        <w:t xml:space="preserve">.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</w:p>
    <w:p>
      <w:pPr>
        <w:pStyle w:val="935"/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b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 w:val="0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b w:val="0"/>
          <w:sz w:val="28"/>
          <w:szCs w:val="28"/>
          <w:highlight w:val="white"/>
        </w:rPr>
        <w:t xml:space="preserve">рок приведения хозяйствующими субъектами численности используемых иностранных работников в соответствие с устанавливаемыми запретами предусмотрен с учетом соблюдения положений трудового законодательства, и Постановления Правительства № 1327 до 1 января 202</w:t>
      </w:r>
      <w:r>
        <w:rPr>
          <w:rFonts w:ascii="Times New Roman" w:hAnsi="Times New Roman" w:eastAsia="Times New Roman" w:cs="Times New Roman"/>
          <w:b w:val="0"/>
          <w:sz w:val="28"/>
          <w:szCs w:val="28"/>
          <w:highlight w:val="white"/>
        </w:rPr>
        <w:t xml:space="preserve">7 года</w:t>
      </w:r>
      <w:r>
        <w:rPr>
          <w:rFonts w:ascii="Times New Roman" w:hAnsi="Times New Roman" w:eastAsia="Times New Roman" w:cs="Times New Roman"/>
          <w:b w:val="0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b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sz w:val="28"/>
          <w:szCs w:val="28"/>
          <w:highlight w:val="white"/>
        </w:rPr>
      </w:r>
    </w:p>
    <w:p>
      <w:pPr>
        <w:contextualSpacing/>
        <w:ind w:firstLine="708"/>
        <w:jc w:val="both"/>
        <w:spacing w:after="0" w:afterAutospacing="0" w:line="240" w:lineRule="auto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Проект подготовлен 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с учетом региональных особенностей рынка труда, а также с целью обеспечения охраны здоровья и безопа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сности населения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contextualSpacing/>
        <w:ind w:firstLine="708"/>
        <w:jc w:val="both"/>
        <w:spacing w:after="0" w:afterAutospacing="0" w:line="240" w:lineRule="auto"/>
        <w:tabs>
          <w:tab w:val="left" w:pos="709" w:leader="none"/>
        </w:tabs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На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 региональном рынке труда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 по </w:t>
      </w:r>
      <w:r>
        <w:rPr>
          <w:rFonts w:ascii="Times New Roman" w:hAnsi="Times New Roman" w:eastAsia="Times New Roman" w:cs="Times New Roman"/>
          <w:bCs/>
          <w:i w:val="0"/>
          <w:iCs w:val="0"/>
          <w:sz w:val="28"/>
          <w:szCs w:val="28"/>
          <w:highlight w:val="white"/>
        </w:rPr>
        <w:t xml:space="preserve">состоянию на </w:t>
      </w:r>
      <w:r>
        <w:rPr>
          <w:rFonts w:ascii="Times New Roman" w:hAnsi="Times New Roman" w:eastAsia="Times New Roman" w:cs="Times New Roman"/>
          <w:bCs/>
          <w:i w:val="0"/>
          <w:iCs w:val="0"/>
          <w:sz w:val="28"/>
          <w:szCs w:val="28"/>
          <w:highlight w:val="white"/>
        </w:rPr>
        <w:t xml:space="preserve">01.</w:t>
      </w:r>
      <w:r>
        <w:rPr>
          <w:rFonts w:ascii="Times New Roman" w:hAnsi="Times New Roman" w:eastAsia="Times New Roman" w:cs="Times New Roman"/>
          <w:bCs/>
          <w:i w:val="0"/>
          <w:iCs w:val="0"/>
          <w:sz w:val="28"/>
          <w:szCs w:val="28"/>
          <w:highlight w:val="white"/>
        </w:rPr>
        <w:t xml:space="preserve">07.202</w:t>
      </w:r>
      <w:r>
        <w:rPr>
          <w:rFonts w:ascii="Times New Roman" w:hAnsi="Times New Roman" w:eastAsia="Times New Roman" w:cs="Times New Roman"/>
          <w:bCs/>
          <w:i w:val="0"/>
          <w:iCs w:val="0"/>
          <w:sz w:val="28"/>
          <w:szCs w:val="28"/>
          <w:highlight w:val="white"/>
        </w:rPr>
        <w:t xml:space="preserve">6: 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ind w:left="0" w:right="0" w:firstLine="708"/>
        <w:jc w:val="both"/>
        <w:spacing w:before="0" w:after="0" w:line="63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органах службы занятости населения автономного округа зарегистрировано 2 037 безработных граждан, что на 3,4 % или на 68 человек больше, чем на 01.01.2026 (1 969 человек).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8"/>
        <w:jc w:val="both"/>
        <w:spacing w:before="0" w:after="0" w:line="63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Уровень регистрируемой безработицы составил 0,21 % (на 01.01.2026 - 0,21 %).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8"/>
        <w:jc w:val="both"/>
        <w:spacing w:before="0" w:after="0" w:line="63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Число вакансий составило 20 643 единицы, что на 30,1 % или на 4 777 единиц больше по сравнению с началом года (на 01.01.2026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highlight w:val="white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 15 866 единиц).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63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Коэффициент напряженности на рынке труда – 0,16 незанятых граждан на 1 вакансию (на 01.01.2026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0,16).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bCs w:val="0"/>
          <w:i w:val="0"/>
          <w:i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По информации Управления Федеральной службы государственной статистики по Тюменской области, Ханты-Мансийскому автономному округу – Югре и Ямало-Ненецкому автономному округу (Тюменьстат), среднемесячная 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номинальная 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начисленная заработная плата работников 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организаций 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по всем сферам деятельности, в которых продлевается запрет, выросла за 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2025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 год по сравнению с аналогичным периодом прошлого года</w:t>
      </w:r>
      <w:r>
        <w:rPr>
          <w:rFonts w:ascii="Times New Roman" w:hAnsi="Times New Roman" w:eastAsia="Times New Roman" w:cs="Times New Roman"/>
          <w:bCs w:val="0"/>
          <w:i w:val="0"/>
          <w:iCs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bCs w:val="0"/>
          <w:i w:val="0"/>
          <w:iCs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iCs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after="0" w:afterAutospacing="0" w:line="240" w:lineRule="auto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Установление запрета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способствуе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 достижению целей принятия проекта: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afterAutospacing="0" w:line="240" w:lineRule="auto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сохранению баланса трудовых ресурсов в регионе;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afterAutospacing="0" w:line="240" w:lineRule="auto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содействию трудоустройства российских граждан;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afterAutospacing="0" w:line="240" w:lineRule="auto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повышению уровня благосостояния граждан за счет улучшения условий труда и увеличения заработной платы;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afterAutospacing="0" w:line="240" w:lineRule="auto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позволяют минимизировать риски причинения вреда жизни и здоровью граждан, так как устанавливаются на опережение негативных событий, независимо от того, были прецеденты ранее или нет.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afterAutospacing="0" w:line="240" w:lineRule="auto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Установление запрета на привлечение иностранных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работников в отдельных видах экономической деятельности в настоящее время является одним из наименее затратных для регионального бюджета организационных мер формирования рабочих мест для граждан Российской Федерации в отсутствие иных способов их появления.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5"/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Проектом затрагиваются интересы р</w:t>
      </w:r>
      <w:r>
        <w:rPr>
          <w:rFonts w:ascii="Times New Roman" w:hAnsi="Times New Roman" w:eastAsia="Times New Roman" w:cs="Times New Roman"/>
          <w:b w:val="0"/>
          <w:iCs/>
          <w:sz w:val="28"/>
          <w:szCs w:val="28"/>
        </w:rPr>
        <w:t xml:space="preserve">аботодателей, использующих труд иностранных граждан, осуществляющих трудовую деятельность на основании патента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, по видам экономической деятельности, предлагаемым к установлению запрета.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35"/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b w:val="0"/>
          <w:iCs/>
          <w:sz w:val="28"/>
          <w:szCs w:val="28"/>
          <w:highlight w:val="white"/>
        </w:rPr>
        <w:t xml:space="preserve">виду того, что частично </w:t>
      </w:r>
      <w:r>
        <w:rPr>
          <w:rFonts w:ascii="Times New Roman" w:hAnsi="Times New Roman" w:eastAsia="Times New Roman" w:cs="Times New Roman"/>
          <w:b w:val="0"/>
          <w:sz w:val="28"/>
          <w:szCs w:val="28"/>
          <w:highlight w:val="white"/>
        </w:rPr>
        <w:t xml:space="preserve">аналогичные запреты устан</w:t>
      </w:r>
      <w:r>
        <w:rPr>
          <w:rFonts w:ascii="Times New Roman" w:hAnsi="Times New Roman" w:eastAsia="Times New Roman" w:cs="Times New Roman"/>
          <w:b w:val="0"/>
          <w:sz w:val="28"/>
          <w:szCs w:val="28"/>
          <w:highlight w:val="white"/>
        </w:rPr>
        <w:t xml:space="preserve">авливались</w:t>
      </w:r>
      <w:r>
        <w:rPr>
          <w:rFonts w:ascii="Times New Roman" w:hAnsi="Times New Roman" w:eastAsia="Times New Roman" w:cs="Times New Roman"/>
          <w:b w:val="0"/>
          <w:sz w:val="28"/>
          <w:szCs w:val="28"/>
          <w:highlight w:val="white"/>
        </w:rPr>
        <w:t xml:space="preserve"> на 2019</w:t>
      </w:r>
      <w:r>
        <w:rPr>
          <w:rFonts w:ascii="Times New Roman" w:hAnsi="Times New Roman" w:eastAsia="Times New Roman" w:cs="Times New Roman"/>
          <w:b w:val="0"/>
          <w:sz w:val="28"/>
          <w:szCs w:val="28"/>
          <w:highlight w:val="white"/>
        </w:rPr>
        <w:t xml:space="preserve"> – </w:t>
      </w:r>
      <w:r>
        <w:rPr>
          <w:rFonts w:ascii="Times New Roman" w:hAnsi="Times New Roman" w:eastAsia="Times New Roman" w:cs="Times New Roman"/>
          <w:b w:val="0"/>
          <w:sz w:val="28"/>
          <w:szCs w:val="28"/>
          <w:highlight w:val="white"/>
        </w:rPr>
        <w:t xml:space="preserve">202</w:t>
      </w:r>
      <w:r>
        <w:rPr>
          <w:rFonts w:ascii="Times New Roman" w:hAnsi="Times New Roman" w:eastAsia="Times New Roman" w:cs="Times New Roman"/>
          <w:b w:val="0"/>
          <w:sz w:val="28"/>
          <w:szCs w:val="28"/>
          <w:highlight w:val="white"/>
        </w:rPr>
        <w:t xml:space="preserve">6 </w:t>
      </w:r>
      <w:r>
        <w:rPr>
          <w:rFonts w:ascii="Times New Roman" w:hAnsi="Times New Roman" w:eastAsia="Times New Roman" w:cs="Times New Roman"/>
          <w:b w:val="0"/>
          <w:sz w:val="28"/>
          <w:szCs w:val="28"/>
          <w:highlight w:val="white"/>
        </w:rPr>
        <w:t xml:space="preserve">годы и незначительное количество иностранных работников привлекаемых по видам деятельности, в которых запрет предлагает</w:t>
      </w:r>
      <w:r>
        <w:rPr>
          <w:rFonts w:ascii="Times New Roman" w:hAnsi="Times New Roman" w:eastAsia="Times New Roman" w:cs="Times New Roman"/>
          <w:b w:val="0"/>
          <w:sz w:val="28"/>
          <w:szCs w:val="28"/>
          <w:highlight w:val="white"/>
        </w:rPr>
        <w:t xml:space="preserve">ся установит</w:t>
      </w:r>
      <w:r>
        <w:rPr>
          <w:rFonts w:ascii="Times New Roman" w:hAnsi="Times New Roman" w:eastAsia="Times New Roman" w:cs="Times New Roman"/>
          <w:b w:val="0"/>
          <w:color w:val="auto"/>
          <w:sz w:val="28"/>
          <w:szCs w:val="28"/>
          <w:highlight w:val="white"/>
        </w:rPr>
        <w:t xml:space="preserve">ь впервы</w:t>
      </w:r>
      <w:r>
        <w:rPr>
          <w:rFonts w:ascii="Times New Roman" w:hAnsi="Times New Roman" w:eastAsia="Times New Roman" w:cs="Times New Roman"/>
          <w:b w:val="0"/>
          <w:color w:val="auto"/>
          <w:sz w:val="28"/>
          <w:szCs w:val="28"/>
          <w:highlight w:val="white"/>
        </w:rPr>
        <w:t xml:space="preserve">е (по данным УМВД России по автономному округу за </w:t>
      </w:r>
      <w:r>
        <w:rPr>
          <w:rFonts w:ascii="Times New Roman" w:hAnsi="Times New Roman" w:eastAsia="Times New Roman" w:cs="Times New Roman"/>
          <w:b w:val="0"/>
          <w:color w:val="auto"/>
          <w:sz w:val="28"/>
          <w:szCs w:val="28"/>
          <w:highlight w:val="white"/>
        </w:rPr>
        <w:t xml:space="preserve">2025 год</w:t>
      </w:r>
      <w:r>
        <w:rPr>
          <w:rFonts w:ascii="Times New Roman" w:hAnsi="Times New Roman" w:eastAsia="Times New Roman" w:cs="Times New Roman"/>
          <w:b w:val="0"/>
          <w:color w:val="auto"/>
          <w:sz w:val="28"/>
          <w:szCs w:val="28"/>
          <w:highlight w:val="white"/>
          <w:lang w:val="ru-RU"/>
        </w:rPr>
        <w:t xml:space="preserve"> и</w:t>
      </w:r>
      <w:r>
        <w:rPr>
          <w:rFonts w:ascii="Times New Roman" w:hAnsi="Times New Roman" w:eastAsia="Times New Roman" w:cs="Times New Roman"/>
          <w:b w:val="0"/>
          <w:color w:val="auto"/>
          <w:sz w:val="28"/>
          <w:szCs w:val="28"/>
          <w:highlight w:val="white"/>
          <w:lang w:val="en-US"/>
        </w:rPr>
        <w:t xml:space="preserve"> </w:t>
      </w:r>
      <w:r>
        <w:rPr>
          <w:rFonts w:ascii="Times New Roman" w:hAnsi="Times New Roman" w:eastAsia="Times New Roman" w:cs="Times New Roman"/>
          <w:b w:val="0"/>
          <w:color w:val="auto"/>
          <w:sz w:val="28"/>
          <w:szCs w:val="28"/>
          <w:highlight w:val="white"/>
          <w:lang w:val="ru-RU"/>
        </w:rPr>
        <w:t xml:space="preserve">5 месяцев 2026 года</w:t>
      </w:r>
      <w:r>
        <w:rPr>
          <w:rFonts w:ascii="Times New Roman" w:hAnsi="Times New Roman" w:eastAsia="Times New Roman" w:cs="Times New Roman"/>
          <w:b w:val="0"/>
          <w:color w:val="auto"/>
          <w:sz w:val="28"/>
          <w:szCs w:val="28"/>
          <w:highlight w:val="white"/>
        </w:rPr>
        <w:t xml:space="preserve"> уведомления о привлечении к трудовой деятельности по указанным видам деятельности представлены на 266 иностранных работников от 86 работодателей)</w:t>
      </w:r>
      <w:r>
        <w:rPr>
          <w:rStyle w:val="902"/>
          <w:rFonts w:ascii="Times New Roman" w:hAnsi="Times New Roman" w:eastAsia="Times New Roman" w:cs="Times New Roman"/>
          <w:b w:val="0"/>
          <w:color w:val="auto"/>
          <w:sz w:val="28"/>
          <w:szCs w:val="28"/>
          <w:highlight w:val="white"/>
        </w:rPr>
        <w:footnoteReference w:id="2"/>
      </w:r>
      <w:r>
        <w:rPr>
          <w:rFonts w:ascii="Times New Roman" w:hAnsi="Times New Roman" w:eastAsia="Times New Roman" w:cs="Times New Roman"/>
          <w:b w:val="0"/>
          <w:color w:val="auto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b w:val="0"/>
          <w:color w:val="auto"/>
          <w:sz w:val="28"/>
          <w:szCs w:val="28"/>
          <w:highlight w:val="white"/>
        </w:rPr>
        <w:t xml:space="preserve">у</w:t>
      </w:r>
      <w:r>
        <w:rPr>
          <w:rFonts w:ascii="Times New Roman" w:hAnsi="Times New Roman" w:eastAsia="Times New Roman" w:cs="Times New Roman"/>
          <w:b w:val="0"/>
          <w:color w:val="auto"/>
          <w:sz w:val="28"/>
          <w:szCs w:val="28"/>
          <w:highlight w:val="white"/>
        </w:rPr>
        <w:t xml:space="preserve">становление на 202</w:t>
      </w:r>
      <w:r>
        <w:rPr>
          <w:rFonts w:ascii="Times New Roman" w:hAnsi="Times New Roman" w:eastAsia="Times New Roman" w:cs="Times New Roman"/>
          <w:b w:val="0"/>
          <w:color w:val="auto"/>
          <w:sz w:val="28"/>
          <w:szCs w:val="28"/>
          <w:highlight w:val="white"/>
        </w:rPr>
        <w:t xml:space="preserve">7 год запрета по предлагаемым видам деятельности не пов</w:t>
      </w:r>
      <w:r>
        <w:rPr>
          <w:rFonts w:ascii="Times New Roman" w:hAnsi="Times New Roman" w:eastAsia="Times New Roman" w:cs="Times New Roman"/>
          <w:b w:val="0"/>
          <w:color w:val="auto"/>
          <w:sz w:val="28"/>
          <w:szCs w:val="28"/>
          <w:highlight w:val="white"/>
        </w:rPr>
        <w:t xml:space="preserve">лечет за собой </w:t>
      </w:r>
      <w:r>
        <w:rPr>
          <w:rFonts w:ascii="Times New Roman" w:hAnsi="Times New Roman" w:eastAsia="Times New Roman" w:cs="Times New Roman"/>
          <w:b w:val="0"/>
          <w:sz w:val="28"/>
          <w:szCs w:val="28"/>
          <w:highlight w:val="white"/>
        </w:rPr>
        <w:t xml:space="preserve">расходов для работодателей.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Дополнительные расходы в виде выходных пособий при увольнении не возникнут, т.к. они не предусмотрены Трудовым кодексом Российской Федерации.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930"/>
        <w:contextualSpacing/>
        <w:ind w:firstLine="708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руппами потенциальных адресатов правового регулирования являются 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260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субъектов предпринимательства, осуществляющих деятель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ность в сфере действия предлагаемых к установлению запретов.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5"/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здержки субъектов предпринимательской деятельности в связи с приведением численности иностранных работников в соответствие с предлагаемым правовым регулированием, а также расходы бюджета автономного округа отсутствуют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.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afterAutospacing="0" w:line="240" w:lineRule="auto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Для удовлетворения потребности в квалифицированных специалистах работодатели, могут: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Использовать трудовые ресурсы из числа местного населения, состоящих на учете в службе занятости населения в качестве ищущих работу и выпускников 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рофессиональных учебных заведений автономного округа.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2. Привлекать к трудовой деятельности иностранных граждан, запреты на которых не распространяются: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имеющих разрешение на временное проживание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Российской Федерации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имеющих вид на жительство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Российской Федерации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граждан стран участниц Договора о Евразийском экономическом союзе (Армения, Белоруссия, Киргизия, Казахстан).</w:t>
      </w:r>
      <w:r>
        <w:rPr>
          <w:rFonts w:ascii="Times New Roman" w:hAnsi="Times New Roman" w:cs="Times New Roman"/>
          <w:i/>
          <w:sz w:val="28"/>
          <w:szCs w:val="28"/>
        </w:rPr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pStyle w:val="933"/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Привлекать иностранных работников в качестве высококвалифицированных специалистов в соответствии с Федеральным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законом 115-ФЗ;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afterAutospacing="0" w:line="240" w:lineRule="auto"/>
        <w:tabs>
          <w:tab w:val="left" w:pos="709" w:leader="none"/>
        </w:tabs>
        <w:rPr>
          <w:rFonts w:ascii="Times New Roman" w:hAnsi="Times New Roman" w:cs="Times New Roman"/>
          <w:bCs/>
          <w:sz w:val="28"/>
          <w:szCs w:val="28"/>
          <w:highlight w:val="yellow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 неквалифицированным специальностям, не требующим специального образования работодатели могут привлекать любых граждан без ограничений по здоровью (в том числе состоящих на учете в службе занятости населения в качестве безработных,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для которых профессии неквалифицированных рабочих являются подходящими).</w:t>
      </w:r>
      <w:r>
        <w:rPr>
          <w:rFonts w:ascii="Times New Roman" w:hAnsi="Times New Roman" w:cs="Times New Roman"/>
          <w:bCs/>
          <w:sz w:val="28"/>
          <w:szCs w:val="28"/>
          <w:highlight w:val="yellow"/>
        </w:rPr>
      </w:r>
      <w:r>
        <w:rPr>
          <w:rFonts w:ascii="Times New Roman" w:hAnsi="Times New Roman" w:cs="Times New Roman"/>
          <w:bCs/>
          <w:sz w:val="28"/>
          <w:szCs w:val="28"/>
          <w:highlight w:val="yellow"/>
        </w:rPr>
      </w:r>
    </w:p>
    <w:p>
      <w:pPr>
        <w:pStyle w:val="935"/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Установление запретов позволяет регулировать приток иностранных работников в отдельных видах экономической деятельности в автономном округе.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Запреты на привлечение иностранных работников в сферы деятельности, непосредственно связанные с безопасностью граждан (розничная торговля алкогольными напитками (включая пиво) и табачными изделиями в специализированных магазинах, деятельност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ь автобусного транспорта по регулярным внутригор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одским и пригородным пассажирским перевозкам и деятель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ность такси, сфера образования и производства детского питания,  хлеба и мучных кондитерских изделий, общественное питание, бытовое обслуживание населения, уход за детьми и организация досуга), позволят минимизировать риски причинения вреда их жизни и здоровью.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935"/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Риски несоблюдения работодателями запрета минимальны и могут проявиться в нежелании работодателей соблюдать установленные ограничения в привлечении иностранных работников на основании патента.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935"/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Контроль за соблюдением устанавливаемых ограничений продолжит осуществлять УМВД России по автономному округу в рамках своей текущей деятельности посредством про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ведения проверочных мероприятий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: 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по статье </w:t>
      </w:r>
      <w:r>
        <w:rPr>
          <w:rFonts w:ascii="Times New Roman" w:hAnsi="Times New Roman" w:eastAsia="Times New Roman" w:cs="Times New Roman"/>
          <w:b w:val="0"/>
          <w:color w:val="000000" w:themeColor="text1"/>
          <w:sz w:val="28"/>
          <w:szCs w:val="28"/>
        </w:rPr>
        <w:t xml:space="preserve">18.17 КоАП РФ</w:t>
      </w:r>
      <w:r>
        <w:rPr>
          <w:rFonts w:ascii="Times New Roman" w:hAnsi="Times New Roman" w:eastAsia="Times New Roman" w:cs="Times New Roman"/>
          <w:b w:val="0"/>
          <w:color w:val="000000" w:themeColor="text1"/>
          <w:sz w:val="28"/>
          <w:szCs w:val="28"/>
        </w:rPr>
        <w:t xml:space="preserve"> в 2022 году выявлено 96 административных правонарушений, в 2023 году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b w:val="0"/>
          <w:color w:val="000000" w:themeColor="text1"/>
          <w:sz w:val="28"/>
          <w:szCs w:val="28"/>
        </w:rPr>
        <w:t xml:space="preserve"> 243, в 2024 году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b w:val="0"/>
          <w:color w:val="000000" w:themeColor="text1"/>
          <w:sz w:val="28"/>
          <w:szCs w:val="28"/>
        </w:rPr>
        <w:t xml:space="preserve"> 31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4,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в 2025 году –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 190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з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а 5 месяцев 2026 года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none"/>
        </w:rPr>
        <w:t xml:space="preserve"> 94.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целях изучения общественного мнения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 целесообразности установления и продления на 2027 год запрета на привлечение иностранных работников в отдельных сферах экономической деятельности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проведен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опрос граждан и работодателей на Платформе обратной связи с 29 января по 29 марта 2026 года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 соц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иологическое исследования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информационной системе «Открытый регион – Югра» с 2 марта по 26 марта 2026 года.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567"/>
        <w:jc w:val="both"/>
        <w:spacing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Граждане и работодатели, п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ринявшие участие в опросе, в большинстве своем поддержали продление на 2027 запрета на привлечение хозяйствующими субъектами иностранных граждан, осуществляющих трудовую деятельность на основании патентов и установление запрета по новым видам деятельности.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  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contextualSpacing/>
        <w:ind w:firstLine="567"/>
        <w:jc w:val="both"/>
        <w:spacing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Проект разработан в соответствии с пунктом 3 статьи 32 Закона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автономного округа от 25.02.2003 № 14-оз «О нормативных правовых актах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Ханты-Мансийского автономного округа – Югры», пунктом б статьи 8 Закона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автономного округа от 19.11.2001 № 75-оз «О Губернаторе Ханты Мансийского автономного округа – Югры» которым установлено, что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Губернатор в пределах полномочий на основе и во исполнение Конституции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Российской Федерации, федерального законодательства, Устава Ханты Мансийского автономного округа – Югры и законов Ханты-Мансийского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автономного округа – Югры издает постановления и распоряжения, имеющие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обязательную силу на всей территории автономного округа.
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Таким образом, Проект подготовлен с учетом требований вышеуказанных нормативных правовых актов и его принятие находится в пределах полномочий Губернатора автономного округа.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contextualSpacing/>
        <w:ind w:left="0" w:right="0"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Принятие Проекта не потребует внесения изменений в правовые акты Губернатора автономного округа, Правительства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автономного округа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признания их утратившими силу или принятия новых правовых актов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автономного округа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Его принятие также не потребует выделения дополнительных средств из бюджета автономного округа.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Проекте отсутствуют сведения, содержащие государственную и иную, охраняемую законом тайну, сведения для служебного пользования, а также сведения, содержащие персональные данные.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 проведении антикоррупционной экспертизы Проекта коррупционных факторов не выявлено.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w:t xml:space="preserve">Приложение на 2 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center"/>
        <w:spacing w:after="0" w:afterAutospacing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contextualSpacing/>
        <w:ind w:firstLine="709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</w:r>
    </w:p>
    <w:tbl>
      <w:tblPr>
        <w:tblW w:w="912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33"/>
        <w:gridCol w:w="3912"/>
        <w:gridCol w:w="2183"/>
      </w:tblGrid>
      <w:tr>
        <w:tblPrEx/>
        <w:trPr>
          <w:trHeight w:val="1559"/>
        </w:trPr>
        <w:tc>
          <w:tcPr>
            <w:tcW w:w="303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И.о.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иректор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Департамента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W w:w="3912" w:type="dxa"/>
            <w:vAlign w:val="center"/>
            <w:textDirection w:val="lrTb"/>
            <w:noWrap w:val="false"/>
          </w:tcPr>
          <w:p>
            <w:pPr>
              <w:ind w:left="0" w:right="0" w:hanging="850"/>
              <w:jc w:val="center"/>
              <w:spacing w:after="0" w:line="240" w:lineRule="auto"/>
              <w:rPr>
                <w:rFonts w:ascii="Calibri" w:hAnsi="Calibri" w:eastAsia="Times New Roman" w:cs="Calibri"/>
                <w:b/>
                <w:color w:val="d9d9d9"/>
                <w:sz w:val="20"/>
                <w:szCs w:val="20"/>
                <w:lang w:eastAsia="ru-RU"/>
              </w:rPr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73600" behindDoc="1" locked="0" layoutInCell="1" allowOverlap="1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-93943</wp:posOffset>
                      </wp:positionV>
                      <wp:extent cx="2447925" cy="932180"/>
                      <wp:effectExtent l="0" t="0" r="0" b="1270"/>
                      <wp:wrapNone/>
                      <wp:docPr id="3" name="Рисунок 1" descr="Изображение выглядит как текст, снимок экрана, Прямоугольник, дизайн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42349761" name="Рисунок 1" descr="Изображение выглядит как текст, снимок экрана, Прямоугольник, дизайн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447924" cy="93217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position:absolute;z-index:-251673600;o:allowoverlap:true;o:allowincell:true;mso-position-horizontal-relative:text;margin-left:0.95pt;mso-position-horizontal:absolute;mso-position-vertical-relative:text;margin-top:-7.40pt;mso-position-vertical:absolute;width:192.75pt;height:73.40pt;mso-wrap-distance-left:9.00pt;mso-wrap-distance-top:0.00pt;mso-wrap-distance-right:9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rFonts w:ascii="Calibri" w:hAnsi="Calibri" w:eastAsia="Times New Roman" w:cs="Calibri"/>
                <w:b/>
                <w:color w:val="d9d9d9"/>
                <w:sz w:val="20"/>
                <w:szCs w:val="20"/>
                <w:lang w:eastAsia="ru-RU"/>
              </w:rPr>
              <w:t xml:space="preserve">ДОКУМЕНТ ПОДПИСАН</w:t>
            </w:r>
            <w:r>
              <w:rPr>
                <w:rFonts w:ascii="Calibri" w:hAnsi="Calibri" w:eastAsia="Times New Roman" w:cs="Calibri"/>
                <w:b/>
                <w:color w:val="d9d9d9"/>
                <w:sz w:val="20"/>
                <w:szCs w:val="20"/>
                <w:lang w:eastAsia="ru-RU"/>
              </w:rPr>
            </w:r>
            <w:r>
              <w:rPr>
                <w:rFonts w:ascii="Calibri" w:hAnsi="Calibri" w:eastAsia="Times New Roman" w:cs="Calibri"/>
                <w:b/>
                <w:color w:val="d9d9d9"/>
                <w:sz w:val="20"/>
                <w:szCs w:val="20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Calibri" w:hAnsi="Calibri" w:eastAsia="Times New Roman" w:cs="Calibri"/>
                <w:b/>
                <w:color w:val="d9d9d9"/>
                <w:sz w:val="20"/>
                <w:szCs w:val="20"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color w:val="d9d9d9"/>
                <w:sz w:val="20"/>
                <w:szCs w:val="20"/>
                <w:lang w:eastAsia="ru-RU"/>
              </w:rPr>
              <w:t xml:space="preserve">ЭЛЕКТРОННОЙ ПОДПИСЬЮ</w:t>
            </w:r>
            <w:r>
              <w:rPr>
                <w:rFonts w:ascii="Calibri" w:hAnsi="Calibri" w:eastAsia="Times New Roman" w:cs="Calibri"/>
                <w:b/>
                <w:color w:val="d9d9d9"/>
                <w:sz w:val="20"/>
                <w:szCs w:val="20"/>
                <w:lang w:eastAsia="ru-RU"/>
              </w:rPr>
            </w:r>
            <w:r>
              <w:rPr>
                <w:rFonts w:ascii="Calibri" w:hAnsi="Calibri" w:eastAsia="Times New Roman" w:cs="Calibri"/>
                <w:b/>
                <w:color w:val="d9d9d9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rPr>
                <w:rFonts w:ascii="Calibri" w:hAnsi="Calibri" w:eastAsia="Times New Roman" w:cs="Calibri"/>
                <w:color w:val="d9d9d9"/>
                <w:sz w:val="8"/>
                <w:szCs w:val="8"/>
                <w:lang w:eastAsia="ru-RU"/>
              </w:rPr>
            </w:pPr>
            <w:r>
              <w:rPr>
                <w:rFonts w:ascii="Calibri" w:hAnsi="Calibri" w:eastAsia="Times New Roman" w:cs="Calibri"/>
                <w:color w:val="d9d9d9"/>
                <w:sz w:val="8"/>
                <w:szCs w:val="8"/>
                <w:lang w:eastAsia="ru-RU"/>
              </w:rPr>
            </w:r>
            <w:r>
              <w:rPr>
                <w:rFonts w:ascii="Calibri" w:hAnsi="Calibri" w:eastAsia="Times New Roman" w:cs="Calibri"/>
                <w:color w:val="d9d9d9"/>
                <w:sz w:val="8"/>
                <w:szCs w:val="8"/>
                <w:lang w:eastAsia="ru-RU"/>
              </w:rPr>
            </w:r>
            <w:r>
              <w:rPr>
                <w:rFonts w:ascii="Calibri" w:hAnsi="Calibri" w:eastAsia="Times New Roman" w:cs="Calibri"/>
                <w:color w:val="d9d9d9"/>
                <w:sz w:val="8"/>
                <w:szCs w:val="8"/>
                <w:lang w:eastAsia="ru-RU"/>
              </w:rPr>
            </w:r>
          </w:p>
          <w:p>
            <w:pPr>
              <w:ind w:firstLine="142"/>
              <w:spacing w:after="0" w:line="240" w:lineRule="auto"/>
              <w:rPr>
                <w:rFonts w:ascii="Calibri" w:hAnsi="Calibri" w:eastAsia="Times New Roman" w:cs="Calibri"/>
                <w:color w:val="d9d9d9"/>
                <w:sz w:val="18"/>
                <w:szCs w:val="18"/>
                <w:lang w:eastAsia="ru-RU"/>
              </w:rPr>
            </w:pPr>
            <w:r>
              <w:rPr>
                <w:rFonts w:ascii="Calibri" w:hAnsi="Calibri" w:eastAsia="Times New Roman" w:cs="Calibri"/>
                <w:color w:val="d9d9d9"/>
                <w:sz w:val="18"/>
                <w:szCs w:val="18"/>
                <w:lang w:eastAsia="ru-RU"/>
              </w:rPr>
              <w:t xml:space="preserve">Сертификат [Номер сертификата 1]</w:t>
            </w:r>
            <w:r>
              <w:rPr>
                <w:rFonts w:ascii="Calibri" w:hAnsi="Calibri" w:eastAsia="Times New Roman" w:cs="Calibri"/>
                <w:color w:val="d9d9d9"/>
                <w:sz w:val="18"/>
                <w:szCs w:val="18"/>
                <w:lang w:eastAsia="ru-RU"/>
              </w:rPr>
            </w:r>
            <w:r>
              <w:rPr>
                <w:rFonts w:ascii="Calibri" w:hAnsi="Calibri" w:eastAsia="Times New Roman" w:cs="Calibri"/>
                <w:color w:val="d9d9d9"/>
                <w:sz w:val="18"/>
                <w:szCs w:val="18"/>
                <w:lang w:eastAsia="ru-RU"/>
              </w:rPr>
            </w:r>
          </w:p>
          <w:p>
            <w:pPr>
              <w:ind w:firstLine="142"/>
              <w:spacing w:after="0" w:line="240" w:lineRule="auto"/>
              <w:rPr>
                <w:rFonts w:ascii="Calibri" w:hAnsi="Calibri" w:eastAsia="Times New Roman" w:cs="Calibri"/>
                <w:color w:val="d9d9d9"/>
                <w:sz w:val="18"/>
                <w:szCs w:val="18"/>
                <w:lang w:eastAsia="ru-RU"/>
              </w:rPr>
            </w:pPr>
            <w:r>
              <w:rPr>
                <w:rFonts w:ascii="Calibri" w:hAnsi="Calibri" w:eastAsia="Times New Roman" w:cs="Calibri"/>
                <w:color w:val="d9d9d9"/>
                <w:sz w:val="18"/>
                <w:szCs w:val="18"/>
                <w:lang w:eastAsia="ru-RU"/>
              </w:rPr>
              <w:t xml:space="preserve">Владелец [Владелец сертификата 1]</w:t>
            </w:r>
            <w:r>
              <w:rPr>
                <w:rFonts w:ascii="Calibri" w:hAnsi="Calibri" w:eastAsia="Times New Roman" w:cs="Calibri"/>
                <w:color w:val="d9d9d9"/>
                <w:sz w:val="18"/>
                <w:szCs w:val="18"/>
                <w:lang w:eastAsia="ru-RU"/>
              </w:rPr>
            </w:r>
            <w:r>
              <w:rPr>
                <w:rFonts w:ascii="Calibri" w:hAnsi="Calibri" w:eastAsia="Times New Roman" w:cs="Calibri"/>
                <w:color w:val="d9d9d9"/>
                <w:sz w:val="18"/>
                <w:szCs w:val="18"/>
                <w:lang w:eastAsia="ru-RU"/>
              </w:rPr>
            </w:r>
          </w:p>
          <w:p>
            <w:pPr>
              <w:ind w:firstLine="142"/>
              <w:spacing w:after="0" w:line="240" w:lineRule="auto"/>
              <w:rPr>
                <w:rFonts w:ascii="Times New Roman" w:hAnsi="Times New Roman" w:eastAsia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Calibri" w:hAnsi="Calibri" w:eastAsia="Times New Roman" w:cs="Calibri"/>
                <w:color w:val="d9d9d9"/>
                <w:sz w:val="18"/>
                <w:szCs w:val="18"/>
                <w:lang w:eastAsia="ru-RU"/>
              </w:rPr>
              <w:t xml:space="preserve">Действителен с [</w:t>
            </w:r>
            <w:r>
              <w:rPr>
                <w:rFonts w:ascii="Calibri" w:hAnsi="Calibri" w:eastAsia="Times New Roman" w:cs="Calibri"/>
                <w:color w:val="d9d9d9"/>
                <w:sz w:val="18"/>
                <w:szCs w:val="18"/>
                <w:lang w:eastAsia="ru-RU"/>
              </w:rPr>
              <w:t xml:space="preserve">ДатаС</w:t>
            </w:r>
            <w:r>
              <w:rPr>
                <w:rFonts w:ascii="Calibri" w:hAnsi="Calibri" w:eastAsia="Times New Roman" w:cs="Calibri"/>
                <w:color w:val="d9d9d9"/>
                <w:sz w:val="18"/>
                <w:szCs w:val="18"/>
                <w:lang w:eastAsia="ru-RU"/>
              </w:rPr>
              <w:t xml:space="preserve"> 1] по [</w:t>
            </w:r>
            <w:r>
              <w:rPr>
                <w:rFonts w:ascii="Calibri" w:hAnsi="Calibri" w:eastAsia="Times New Roman" w:cs="Calibri"/>
                <w:color w:val="d9d9d9"/>
                <w:sz w:val="18"/>
                <w:szCs w:val="18"/>
                <w:lang w:eastAsia="ru-RU"/>
              </w:rPr>
              <w:t xml:space="preserve">ДатаПо</w:t>
            </w:r>
            <w:r>
              <w:rPr>
                <w:rFonts w:ascii="Calibri" w:hAnsi="Calibri" w:eastAsia="Times New Roman" w:cs="Calibri"/>
                <w:color w:val="d9d9d9"/>
                <w:sz w:val="18"/>
                <w:szCs w:val="18"/>
                <w:lang w:eastAsia="ru-RU"/>
              </w:rPr>
              <w:t xml:space="preserve"> 1]</w:t>
            </w:r>
            <w:r>
              <w:rPr>
                <w:rFonts w:ascii="Times New Roman" w:hAnsi="Times New Roman" w:eastAsia="Times New Roman" w:cs="Times New Roman"/>
                <w:sz w:val="10"/>
                <w:szCs w:val="1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0"/>
                <w:szCs w:val="10"/>
                <w:lang w:eastAsia="ru-RU"/>
              </w:rPr>
            </w:r>
          </w:p>
        </w:tc>
        <w:tc>
          <w:tcPr>
            <w:tcW w:w="2183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Ю.С.Степанян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r>
          </w:p>
        </w:tc>
      </w:tr>
    </w:tbl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contextualSpacing/>
        <w:jc w:val="both"/>
        <w:spacing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Исполнитель: консультант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отдела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трудовой миграции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contextualSpacing/>
        <w:jc w:val="both"/>
        <w:spacing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Управления труда Департамента труда и занятости населения автономного округа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contextualSpacing/>
        <w:jc w:val="both"/>
        <w:spacing w:line="240" w:lineRule="auto"/>
        <w:rPr>
          <w:rFonts w:ascii="Times New Roman" w:hAnsi="Times New Roman" w:cs="Times New Roman"/>
          <w:color w:val="000000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Чиликова Евгения Владимировна, тел.: 8 (3467) 331609, доб. 3923</w:t>
      </w:r>
      <w:r>
        <w:rPr>
          <w:rFonts w:ascii="Times New Roman" w:hAnsi="Times New Roman" w:cs="Times New Roman"/>
          <w:color w:val="000000"/>
          <w:sz w:val="20"/>
          <w:szCs w:val="20"/>
          <w:highlight w:val="none"/>
        </w:rPr>
      </w:r>
      <w:r>
        <w:rPr>
          <w:rFonts w:ascii="Times New Roman" w:hAnsi="Times New Roman" w:cs="Times New Roman"/>
          <w:color w:val="000000"/>
          <w:sz w:val="20"/>
          <w:szCs w:val="20"/>
          <w:highlight w:val="none"/>
        </w:rPr>
      </w:r>
    </w:p>
    <w:p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jc w:val="righ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jc w:val="righ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Приложение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contextualSpacing/>
        <w:ind w:firstLine="708"/>
        <w:jc w:val="center"/>
        <w:spacing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Предложения по видам деятельности 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для установления в Ханты-Мансийском автономном округе – Югре на 202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7 год запрета на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привлечение иностранных граждан, осуществляющих трудовую деятельность на основании патентов, по отдельным видам экономической деятельности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(включены в Проект)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contextualSpacing/>
        <w:ind w:firstLine="708"/>
        <w:jc w:val="center"/>
        <w:spacing w:after="0" w:afterAutospacing="0" w:line="240" w:lineRule="auto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contextualSpacing/>
        <w:ind w:left="378" w:hanging="378"/>
        <w:jc w:val="center"/>
        <w:spacing w:after="0" w:afterAutospacing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/>
        </w:rPr>
        <w:t xml:space="preserve">Действующие на 2026 год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pStyle w:val="937"/>
        <w:contextualSpacing/>
        <w:ind w:firstLine="708"/>
        <w:spacing w:after="0" w:afterAutospacing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1.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Разведение оленей (код 01.49.4).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</w:p>
    <w:p>
      <w:pPr>
        <w:pStyle w:val="937"/>
        <w:contextualSpacing/>
        <w:jc w:val="both"/>
        <w:spacing w:after="0" w:afterAutospacing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ab/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2.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Охота, отлов и отстрел диких животных, включая предоставление услуг в этих областях (код 01.7)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</w:p>
    <w:p>
      <w:pPr>
        <w:pStyle w:val="937"/>
        <w:contextualSpacing/>
        <w:jc w:val="both"/>
        <w:spacing w:after="0" w:afterAutospacing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ab/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3.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highlight w:val="white"/>
        </w:rPr>
        <w:t xml:space="preserve">Сбор и заготовка пищевых лесных ресурсов, недревесных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highlight w:val="white"/>
        </w:rPr>
        <w:t xml:space="preserve">лесных ресурсов и лекарственных растений (код 02.3)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</w:p>
    <w:p>
      <w:pPr>
        <w:pStyle w:val="937"/>
        <w:contextualSpacing/>
        <w:jc w:val="both"/>
        <w:spacing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ab/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4.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Рыболовство в целях обеспечения ведения традиционного образа жизни и осуществления традиционной хозяйственной деятельности коренных малочисленных народов Севера, Сибири и Дальнего Востока Российской Федерации (код 03.12.4).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937"/>
        <w:contextualSpacing/>
        <w:ind w:left="0" w:right="0"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5.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Производство детского питания и диетических пищевых продуктов (код 10.86).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37"/>
        <w:contextualSpacing/>
        <w:ind w:firstLine="708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6. Обеспечение электрической энерг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ией, газом и паром; кондиционирование воздуха (код 35).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7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 Забор, очистка и распределение воды (код 36).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8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 Торговля розничная алкогольными напитками, включая пиво, в специализированных магазинах (код 47.25.1).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9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 Торговля розничная табачными изделиями в специализированных магазинах (код 47.26).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10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 Деятельность сухопутного пассажирского транспорта: перевозки пассажиров в городском и пригородном сообщении (код 49.31).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after="0" w:afterAutospacing="0" w:line="240" w:lineRule="auto"/>
        <w:widowControl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11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 Деятельность легкового такси и арендованных легковых автомобилей с водителем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ar-SA"/>
        </w:rPr>
        <w:t xml:space="preserve"> (код 49.32).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ar-SA"/>
        </w:rPr>
        <w:t xml:space="preserve">12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ar-SA"/>
        </w:rPr>
        <w:t xml:space="preserve">. Д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еятельность прочего сухопутного пассажирского транспорта, не включенная в другие группировки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ar-SA"/>
        </w:rPr>
        <w:t xml:space="preserve">(код 49.39).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13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 Деятельность курьерская (код 53.20.3). 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ar-SA"/>
        </w:rPr>
        <w:t xml:space="preserve">14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ar-SA"/>
        </w:rPr>
        <w:t xml:space="preserve">. Деятельность по предоставлению продуктов питания и напитков (код 56).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ar-SA"/>
        </w:rPr>
        <w:t xml:space="preserve">15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ar-SA"/>
        </w:rPr>
        <w:t xml:space="preserve">. Деятельность по предоставлению финансовых услуг, кроме услуг по страхованию и пенсионному обеспечению (код 64).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16. Образование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en-US"/>
        </w:rPr>
        <w:t xml:space="preserve">(код 85).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en-US"/>
        </w:rPr>
        <w:t xml:space="preserve">17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en-US"/>
        </w:rPr>
        <w:t xml:space="preserve">. Деятельность в области здравоохранения (код 86).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18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 Деятельность по уходу с обеспечением проживания (код 87)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19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Предоставление услуг по дневному уходу за детьми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(код 88.91)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after="0" w:afterAutospacing="0" w:line="240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20. Ремонт электронной бытовой техники (код 95.21).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afterAutospacing="0" w:line="240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21. Ремонт обуви и прочих изделий из кожи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(код 95.23).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afterAutospacing="0" w:line="240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22. Ремонт мебели и предметов домашнего обихода (код 95.24).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afterAutospacing="0" w:line="240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23. Ремонт часов и ювелирных изделий (код 95.25).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afterAutospacing="0" w:line="240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24. Стирка и химическая чистка текстильных и меховых изделий (код 96.01).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afterAutospacing="0" w:line="240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25. Предоставление услуг парикмахерскими и салонами красоты (код 96.02).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afterAutospacing="0" w:line="240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26. Деятельность физкультурно-оздоровительная (код 96.04).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afterAutospacing="0" w:line="240" w:lineRule="auto"/>
        <w:widowControl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27. Предоставление прочих персональных услуг, не включенных в другие группировки (код 96.09).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0" w:firstLine="0"/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Дополнительно на 2027 год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28.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Производство хлеба и мучных кондитерских изделий, тортов и пирожных недлительного хранения» (код 10.71).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29. Деятельность по складированию и хранению (код 52.1, включающий деятельность пунктов выдачи заказов).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30. Деятельность в области культуры, спорта, организации досуга и развлечений (раздел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R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коды 90-93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left="0" w:firstLine="0"/>
        <w:jc w:val="center"/>
        <w:spacing w:after="0" w:afterAutospacing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contextualSpacing/>
        <w:spacing w:after="0" w:afterAutospacing="0" w:line="240" w:lineRule="auto"/>
        <w:shd w:val="clear" w:color="auto" w:fill="ffffff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val="en-US"/>
        </w:rPr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sectPr>
      <w:headerReference w:type="default" r:id="rId8"/>
      <w:headerReference w:type="first" r:id="rId9"/>
      <w:footerReference w:type="first" r:id="rId10"/>
      <w:footnotePr/>
      <w:endnotePr/>
      <w:type w:val="nextPage"/>
      <w:pgSz w:w="11906" w:h="16838" w:orient="portrait"/>
      <w:pgMar w:top="1418" w:right="1276" w:bottom="1134" w:left="1559" w:header="0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entury Gothic">
    <w:panose1 w:val="020B05020202020202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902"/>
          <w:rFonts w:ascii="Times New Roman" w:hAnsi="Times New Roman" w:eastAsia="Times New Roman" w:cs="Times New Roman"/>
          <w:sz w:val="22"/>
          <w:szCs w:val="22"/>
        </w:rPr>
        <w:footnoteRef/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из них 219 работников </w:t>
      </w:r>
      <w:r>
        <w:rPr>
          <w:rFonts w:ascii="Times New Roman" w:hAnsi="Times New Roman" w:eastAsia="Times New Roman" w:cs="Times New Roman"/>
          <w:sz w:val="22"/>
          <w:szCs w:val="22"/>
        </w:rPr>
      </w:r>
      <w:bookmarkStart w:id="0" w:name="undefined"/>
      <w:r>
        <w:rPr>
          <w:rFonts w:ascii="Times New Roman" w:hAnsi="Times New Roman" w:eastAsia="Times New Roman" w:cs="Times New Roman"/>
          <w:sz w:val="22"/>
          <w:szCs w:val="22"/>
        </w:rPr>
      </w:r>
      <w:bookmarkEnd w:id="0"/>
      <w:r>
        <w:rPr>
          <w:rFonts w:ascii="Times New Roman" w:hAnsi="Times New Roman" w:eastAsia="Times New Roman" w:cs="Times New Roman"/>
          <w:sz w:val="22"/>
          <w:szCs w:val="22"/>
        </w:rPr>
        <w:t xml:space="preserve">64 работодателя привлекли по виду деятельности «Производство хлеба и мучных кондитерских изделий, тортов и пирожных недлительного хранения» (код 10.71)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0"/>
      <w:jc w:val="center"/>
    </w:pPr>
    <w:r>
      <w:rPr>
        <w:highlight w:val="none"/>
      </w:rPr>
    </w:r>
    <w:r>
      <w:rPr>
        <w:highlight w:val="none"/>
      </w:rPr>
    </w:r>
    <w:r/>
  </w:p>
  <w:p>
    <w:pPr>
      <w:pStyle w:val="920"/>
      <w:jc w:val="center"/>
      <w:rPr>
        <w:highlight w:val="none"/>
      </w:rPr>
    </w:pPr>
    <w:r>
      <w:rPr>
        <w:highlight w:val="none"/>
      </w:rPr>
    </w:r>
    <w:r>
      <w:rPr>
        <w:highlight w:val="none"/>
      </w:rPr>
    </w:r>
    <w:r>
      <w:rPr>
        <w:highlight w:val="none"/>
      </w:rPr>
    </w:r>
  </w:p>
  <w:p>
    <w:pPr>
      <w:pStyle w:val="920"/>
      <w:jc w:val="center"/>
      <w:rPr>
        <w:rFonts w:ascii="Times New Roman" w:hAnsi="Times New Roman" w:cs="Times New Roman"/>
        <w:sz w:val="24"/>
        <w:szCs w:val="24"/>
        <w:highlight w:val="none"/>
      </w:rPr>
    </w:pPr>
    <w:fldSimple w:instr="PAGE \* MERGEFORMAT">
      <w:r>
        <w:rPr>
          <w:rFonts w:ascii="Times New Roman" w:hAnsi="Times New Roman" w:eastAsia="Times New Roman" w:cs="Times New Roman"/>
          <w:sz w:val="24"/>
          <w:szCs w:val="24"/>
        </w:rPr>
        <w:t xml:space="preserve">1</w:t>
      </w:r>
    </w:fldSimple>
    <w:r>
      <w:rPr>
        <w:rFonts w:ascii="Times New Roman" w:hAnsi="Times New Roman" w:eastAsia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  <w:highlight w:val="none"/>
      </w:rPr>
    </w:r>
    <w:r>
      <w:rPr>
        <w:rFonts w:ascii="Times New Roman" w:hAnsi="Times New Roman" w:cs="Times New Roman"/>
        <w:sz w:val="24"/>
        <w:szCs w:val="24"/>
        <w:highlight w:val="none"/>
      </w:rPr>
    </w:r>
  </w:p>
  <w:p>
    <w:pPr>
      <w:pStyle w:val="92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0"/>
    </w:pPr>
    <w:r/>
    <w:r/>
  </w:p>
  <w:p>
    <w:pPr>
      <w:pStyle w:val="920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5">
    <w:name w:val="Heading 1 Char"/>
    <w:basedOn w:val="750"/>
    <w:link w:val="741"/>
    <w:uiPriority w:val="9"/>
    <w:rPr>
      <w:rFonts w:ascii="Arial" w:hAnsi="Arial" w:eastAsia="Arial" w:cs="Arial"/>
      <w:sz w:val="40"/>
      <w:szCs w:val="40"/>
    </w:rPr>
  </w:style>
  <w:style w:type="character" w:styleId="726">
    <w:name w:val="Heading 2 Char"/>
    <w:basedOn w:val="750"/>
    <w:link w:val="742"/>
    <w:uiPriority w:val="9"/>
    <w:rPr>
      <w:rFonts w:ascii="Arial" w:hAnsi="Arial" w:eastAsia="Arial" w:cs="Arial"/>
      <w:sz w:val="34"/>
    </w:rPr>
  </w:style>
  <w:style w:type="character" w:styleId="727">
    <w:name w:val="Heading 3 Char"/>
    <w:basedOn w:val="750"/>
    <w:link w:val="743"/>
    <w:uiPriority w:val="9"/>
    <w:rPr>
      <w:rFonts w:ascii="Arial" w:hAnsi="Arial" w:eastAsia="Arial" w:cs="Arial"/>
      <w:sz w:val="30"/>
      <w:szCs w:val="30"/>
    </w:rPr>
  </w:style>
  <w:style w:type="character" w:styleId="728">
    <w:name w:val="Heading 4 Char"/>
    <w:basedOn w:val="750"/>
    <w:link w:val="744"/>
    <w:uiPriority w:val="9"/>
    <w:rPr>
      <w:rFonts w:ascii="Arial" w:hAnsi="Arial" w:eastAsia="Arial" w:cs="Arial"/>
      <w:b/>
      <w:bCs/>
      <w:sz w:val="26"/>
      <w:szCs w:val="26"/>
    </w:rPr>
  </w:style>
  <w:style w:type="character" w:styleId="729">
    <w:name w:val="Heading 5 Char"/>
    <w:basedOn w:val="750"/>
    <w:link w:val="745"/>
    <w:uiPriority w:val="9"/>
    <w:rPr>
      <w:rFonts w:ascii="Arial" w:hAnsi="Arial" w:eastAsia="Arial" w:cs="Arial"/>
      <w:b/>
      <w:bCs/>
      <w:sz w:val="24"/>
      <w:szCs w:val="24"/>
    </w:rPr>
  </w:style>
  <w:style w:type="character" w:styleId="730">
    <w:name w:val="Heading 6 Char"/>
    <w:basedOn w:val="750"/>
    <w:link w:val="746"/>
    <w:uiPriority w:val="9"/>
    <w:rPr>
      <w:rFonts w:ascii="Arial" w:hAnsi="Arial" w:eastAsia="Arial" w:cs="Arial"/>
      <w:b/>
      <w:bCs/>
      <w:sz w:val="22"/>
      <w:szCs w:val="22"/>
    </w:rPr>
  </w:style>
  <w:style w:type="character" w:styleId="731">
    <w:name w:val="Heading 7 Char"/>
    <w:basedOn w:val="750"/>
    <w:link w:val="74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2">
    <w:name w:val="Heading 8 Char"/>
    <w:basedOn w:val="750"/>
    <w:link w:val="748"/>
    <w:uiPriority w:val="9"/>
    <w:rPr>
      <w:rFonts w:ascii="Arial" w:hAnsi="Arial" w:eastAsia="Arial" w:cs="Arial"/>
      <w:i/>
      <w:iCs/>
      <w:sz w:val="22"/>
      <w:szCs w:val="22"/>
    </w:rPr>
  </w:style>
  <w:style w:type="character" w:styleId="733">
    <w:name w:val="Heading 9 Char"/>
    <w:basedOn w:val="750"/>
    <w:link w:val="749"/>
    <w:uiPriority w:val="9"/>
    <w:rPr>
      <w:rFonts w:ascii="Arial" w:hAnsi="Arial" w:eastAsia="Arial" w:cs="Arial"/>
      <w:i/>
      <w:iCs/>
      <w:sz w:val="21"/>
      <w:szCs w:val="21"/>
    </w:rPr>
  </w:style>
  <w:style w:type="character" w:styleId="734">
    <w:name w:val="Title Char"/>
    <w:basedOn w:val="750"/>
    <w:link w:val="763"/>
    <w:uiPriority w:val="10"/>
    <w:rPr>
      <w:sz w:val="48"/>
      <w:szCs w:val="48"/>
    </w:rPr>
  </w:style>
  <w:style w:type="character" w:styleId="735">
    <w:name w:val="Subtitle Char"/>
    <w:basedOn w:val="750"/>
    <w:link w:val="765"/>
    <w:uiPriority w:val="11"/>
    <w:rPr>
      <w:sz w:val="24"/>
      <w:szCs w:val="24"/>
    </w:rPr>
  </w:style>
  <w:style w:type="character" w:styleId="736">
    <w:name w:val="Quote Char"/>
    <w:link w:val="767"/>
    <w:uiPriority w:val="29"/>
    <w:rPr>
      <w:i/>
    </w:rPr>
  </w:style>
  <w:style w:type="character" w:styleId="737">
    <w:name w:val="Intense Quote Char"/>
    <w:link w:val="769"/>
    <w:uiPriority w:val="30"/>
    <w:rPr>
      <w:i/>
    </w:rPr>
  </w:style>
  <w:style w:type="character" w:styleId="738">
    <w:name w:val="Footnote Text Char"/>
    <w:link w:val="900"/>
    <w:uiPriority w:val="99"/>
    <w:rPr>
      <w:sz w:val="18"/>
    </w:rPr>
  </w:style>
  <w:style w:type="character" w:styleId="739">
    <w:name w:val="Endnote Text Char"/>
    <w:link w:val="903"/>
    <w:uiPriority w:val="99"/>
    <w:rPr>
      <w:sz w:val="20"/>
    </w:rPr>
  </w:style>
  <w:style w:type="paragraph" w:styleId="740" w:default="1">
    <w:name w:val="Normal"/>
    <w:qFormat/>
  </w:style>
  <w:style w:type="paragraph" w:styleId="741">
    <w:name w:val="Heading 1"/>
    <w:basedOn w:val="740"/>
    <w:next w:val="740"/>
    <w:link w:val="753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742">
    <w:name w:val="Heading 2"/>
    <w:basedOn w:val="740"/>
    <w:next w:val="740"/>
    <w:link w:val="754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743">
    <w:name w:val="Heading 3"/>
    <w:basedOn w:val="740"/>
    <w:next w:val="740"/>
    <w:link w:val="755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744">
    <w:name w:val="Heading 4"/>
    <w:basedOn w:val="740"/>
    <w:next w:val="740"/>
    <w:link w:val="756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5">
    <w:name w:val="Heading 5"/>
    <w:basedOn w:val="740"/>
    <w:next w:val="740"/>
    <w:link w:val="757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46">
    <w:name w:val="Heading 6"/>
    <w:basedOn w:val="740"/>
    <w:next w:val="740"/>
    <w:link w:val="758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47">
    <w:name w:val="Heading 7"/>
    <w:basedOn w:val="740"/>
    <w:next w:val="740"/>
    <w:link w:val="759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48">
    <w:name w:val="Heading 8"/>
    <w:basedOn w:val="740"/>
    <w:next w:val="740"/>
    <w:link w:val="760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49">
    <w:name w:val="Heading 9"/>
    <w:basedOn w:val="740"/>
    <w:next w:val="740"/>
    <w:link w:val="761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0" w:default="1">
    <w:name w:val="Default Paragraph Font"/>
    <w:uiPriority w:val="1"/>
    <w:semiHidden/>
    <w:unhideWhenUsed/>
  </w:style>
  <w:style w:type="table" w:styleId="75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52" w:default="1">
    <w:name w:val="No List"/>
    <w:uiPriority w:val="99"/>
    <w:semiHidden/>
    <w:unhideWhenUsed/>
  </w:style>
  <w:style w:type="character" w:styleId="753" w:customStyle="1">
    <w:name w:val="Заголовок 1 Знак"/>
    <w:basedOn w:val="750"/>
    <w:link w:val="741"/>
    <w:uiPriority w:val="9"/>
    <w:rPr>
      <w:rFonts w:ascii="Arial" w:hAnsi="Arial" w:eastAsia="Arial" w:cs="Arial"/>
      <w:sz w:val="40"/>
      <w:szCs w:val="40"/>
    </w:rPr>
  </w:style>
  <w:style w:type="character" w:styleId="754" w:customStyle="1">
    <w:name w:val="Заголовок 2 Знак"/>
    <w:basedOn w:val="750"/>
    <w:link w:val="742"/>
    <w:uiPriority w:val="9"/>
    <w:rPr>
      <w:rFonts w:ascii="Arial" w:hAnsi="Arial" w:eastAsia="Arial" w:cs="Arial"/>
      <w:sz w:val="34"/>
    </w:rPr>
  </w:style>
  <w:style w:type="character" w:styleId="755" w:customStyle="1">
    <w:name w:val="Заголовок 3 Знак"/>
    <w:basedOn w:val="750"/>
    <w:link w:val="743"/>
    <w:uiPriority w:val="9"/>
    <w:rPr>
      <w:rFonts w:ascii="Arial" w:hAnsi="Arial" w:eastAsia="Arial" w:cs="Arial"/>
      <w:sz w:val="30"/>
      <w:szCs w:val="30"/>
    </w:rPr>
  </w:style>
  <w:style w:type="character" w:styleId="756" w:customStyle="1">
    <w:name w:val="Заголовок 4 Знак"/>
    <w:basedOn w:val="750"/>
    <w:link w:val="744"/>
    <w:uiPriority w:val="9"/>
    <w:rPr>
      <w:rFonts w:ascii="Arial" w:hAnsi="Arial" w:eastAsia="Arial" w:cs="Arial"/>
      <w:b/>
      <w:bCs/>
      <w:sz w:val="26"/>
      <w:szCs w:val="26"/>
    </w:rPr>
  </w:style>
  <w:style w:type="character" w:styleId="757" w:customStyle="1">
    <w:name w:val="Заголовок 5 Знак"/>
    <w:basedOn w:val="750"/>
    <w:link w:val="745"/>
    <w:uiPriority w:val="9"/>
    <w:rPr>
      <w:rFonts w:ascii="Arial" w:hAnsi="Arial" w:eastAsia="Arial" w:cs="Arial"/>
      <w:b/>
      <w:bCs/>
      <w:sz w:val="24"/>
      <w:szCs w:val="24"/>
    </w:rPr>
  </w:style>
  <w:style w:type="character" w:styleId="758" w:customStyle="1">
    <w:name w:val="Заголовок 6 Знак"/>
    <w:basedOn w:val="750"/>
    <w:link w:val="746"/>
    <w:uiPriority w:val="9"/>
    <w:rPr>
      <w:rFonts w:ascii="Arial" w:hAnsi="Arial" w:eastAsia="Arial" w:cs="Arial"/>
      <w:b/>
      <w:bCs/>
      <w:sz w:val="22"/>
      <w:szCs w:val="22"/>
    </w:rPr>
  </w:style>
  <w:style w:type="character" w:styleId="759" w:customStyle="1">
    <w:name w:val="Заголовок 7 Знак"/>
    <w:basedOn w:val="750"/>
    <w:link w:val="74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0" w:customStyle="1">
    <w:name w:val="Заголовок 8 Знак"/>
    <w:basedOn w:val="750"/>
    <w:link w:val="748"/>
    <w:uiPriority w:val="9"/>
    <w:rPr>
      <w:rFonts w:ascii="Arial" w:hAnsi="Arial" w:eastAsia="Arial" w:cs="Arial"/>
      <w:i/>
      <w:iCs/>
      <w:sz w:val="22"/>
      <w:szCs w:val="22"/>
    </w:rPr>
  </w:style>
  <w:style w:type="character" w:styleId="761" w:customStyle="1">
    <w:name w:val="Заголовок 9 Знак"/>
    <w:basedOn w:val="750"/>
    <w:link w:val="749"/>
    <w:uiPriority w:val="9"/>
    <w:rPr>
      <w:rFonts w:ascii="Arial" w:hAnsi="Arial" w:eastAsia="Arial" w:cs="Arial"/>
      <w:i/>
      <w:iCs/>
      <w:sz w:val="21"/>
      <w:szCs w:val="21"/>
    </w:rPr>
  </w:style>
  <w:style w:type="paragraph" w:styleId="762">
    <w:name w:val="List Paragraph"/>
    <w:basedOn w:val="740"/>
    <w:uiPriority w:val="34"/>
    <w:qFormat/>
    <w:pPr>
      <w:contextualSpacing/>
      <w:ind w:left="720"/>
    </w:pPr>
  </w:style>
  <w:style w:type="paragraph" w:styleId="763">
    <w:name w:val="Title"/>
    <w:basedOn w:val="740"/>
    <w:next w:val="740"/>
    <w:link w:val="764"/>
    <w:uiPriority w:val="10"/>
    <w:qFormat/>
    <w:pPr>
      <w:contextualSpacing/>
      <w:spacing w:before="300"/>
    </w:pPr>
    <w:rPr>
      <w:sz w:val="48"/>
      <w:szCs w:val="48"/>
    </w:rPr>
  </w:style>
  <w:style w:type="character" w:styleId="764" w:customStyle="1">
    <w:name w:val="Заголовок Знак"/>
    <w:basedOn w:val="750"/>
    <w:link w:val="763"/>
    <w:uiPriority w:val="10"/>
    <w:rPr>
      <w:sz w:val="48"/>
      <w:szCs w:val="48"/>
    </w:rPr>
  </w:style>
  <w:style w:type="paragraph" w:styleId="765">
    <w:name w:val="Subtitle"/>
    <w:basedOn w:val="740"/>
    <w:next w:val="740"/>
    <w:link w:val="766"/>
    <w:uiPriority w:val="11"/>
    <w:qFormat/>
    <w:pPr>
      <w:spacing w:before="200"/>
    </w:pPr>
    <w:rPr>
      <w:sz w:val="24"/>
      <w:szCs w:val="24"/>
    </w:rPr>
  </w:style>
  <w:style w:type="character" w:styleId="766" w:customStyle="1">
    <w:name w:val="Подзаголовок Знак"/>
    <w:basedOn w:val="750"/>
    <w:link w:val="765"/>
    <w:uiPriority w:val="11"/>
    <w:rPr>
      <w:sz w:val="24"/>
      <w:szCs w:val="24"/>
    </w:rPr>
  </w:style>
  <w:style w:type="paragraph" w:styleId="767">
    <w:name w:val="Quote"/>
    <w:basedOn w:val="740"/>
    <w:next w:val="740"/>
    <w:link w:val="768"/>
    <w:uiPriority w:val="29"/>
    <w:qFormat/>
    <w:pPr>
      <w:ind w:left="720" w:right="720"/>
    </w:pPr>
    <w:rPr>
      <w:i/>
    </w:rPr>
  </w:style>
  <w:style w:type="character" w:styleId="768" w:customStyle="1">
    <w:name w:val="Цитата 2 Знак"/>
    <w:link w:val="767"/>
    <w:uiPriority w:val="29"/>
    <w:rPr>
      <w:i/>
    </w:rPr>
  </w:style>
  <w:style w:type="paragraph" w:styleId="769">
    <w:name w:val="Intense Quote"/>
    <w:basedOn w:val="740"/>
    <w:next w:val="740"/>
    <w:link w:val="77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0" w:customStyle="1">
    <w:name w:val="Выделенная цитата Знак"/>
    <w:link w:val="769"/>
    <w:uiPriority w:val="30"/>
    <w:rPr>
      <w:i/>
    </w:rPr>
  </w:style>
  <w:style w:type="character" w:styleId="771" w:customStyle="1">
    <w:name w:val="Header Char"/>
    <w:basedOn w:val="750"/>
    <w:uiPriority w:val="99"/>
  </w:style>
  <w:style w:type="character" w:styleId="772" w:customStyle="1">
    <w:name w:val="Footer Char"/>
    <w:basedOn w:val="750"/>
    <w:uiPriority w:val="99"/>
  </w:style>
  <w:style w:type="paragraph" w:styleId="773">
    <w:name w:val="Caption"/>
    <w:basedOn w:val="740"/>
    <w:next w:val="74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74" w:customStyle="1">
    <w:name w:val="Caption Char"/>
    <w:uiPriority w:val="99"/>
  </w:style>
  <w:style w:type="table" w:styleId="775" w:customStyle="1">
    <w:name w:val="Table Grid Light"/>
    <w:basedOn w:val="75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76">
    <w:name w:val="Plain Table 1"/>
    <w:basedOn w:val="75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7">
    <w:name w:val="Plain Table 2"/>
    <w:basedOn w:val="75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8">
    <w:name w:val="Plain Table 3"/>
    <w:basedOn w:val="75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9">
    <w:name w:val="Plain Table 4"/>
    <w:basedOn w:val="75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Plain Table 5"/>
    <w:basedOn w:val="75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1">
    <w:name w:val="Grid Table 1 Light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Grid Table 1 Light - Accent 1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Grid Table 1 Light - Accent 2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Grid Table 1 Light - Accent 3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Grid Table 1 Light - Accent 4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Grid Table 1 Light - Accent 5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Grid Table 1 Light - Accent 6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Grid Table 2"/>
    <w:basedOn w:val="7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2 - Accent 1"/>
    <w:basedOn w:val="7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2 - Accent 2"/>
    <w:basedOn w:val="7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2 - Accent 3"/>
    <w:basedOn w:val="7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2 - Accent 4"/>
    <w:basedOn w:val="7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2 - Accent 5"/>
    <w:basedOn w:val="7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2 - Accent 6"/>
    <w:basedOn w:val="7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3"/>
    <w:basedOn w:val="7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3 - Accent 1"/>
    <w:basedOn w:val="7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3 - Accent 2"/>
    <w:basedOn w:val="7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3 - Accent 3"/>
    <w:basedOn w:val="7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3 - Accent 4"/>
    <w:basedOn w:val="7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3 - Accent 5"/>
    <w:basedOn w:val="7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3 - Accent 6"/>
    <w:basedOn w:val="7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4"/>
    <w:basedOn w:val="75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3" w:customStyle="1">
    <w:name w:val="Grid Table 4 - Accent 1"/>
    <w:basedOn w:val="75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04" w:customStyle="1">
    <w:name w:val="Grid Table 4 - Accent 2"/>
    <w:basedOn w:val="751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05" w:customStyle="1">
    <w:name w:val="Grid Table 4 - Accent 3"/>
    <w:basedOn w:val="75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06" w:customStyle="1">
    <w:name w:val="Grid Table 4 - Accent 4"/>
    <w:basedOn w:val="751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07" w:customStyle="1">
    <w:name w:val="Grid Table 4 - Accent 5"/>
    <w:basedOn w:val="75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08" w:customStyle="1">
    <w:name w:val="Grid Table 4 - Accent 6"/>
    <w:basedOn w:val="75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09">
    <w:name w:val="Grid Table 5 Dark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10" w:customStyle="1">
    <w:name w:val="Grid Table 5 Dark- Accent 1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11" w:customStyle="1">
    <w:name w:val="Grid Table 5 Dark - Accent 2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12" w:customStyle="1">
    <w:name w:val="Grid Table 5 Dark - Accent 3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13" w:customStyle="1">
    <w:name w:val="Grid Table 5 Dark- Accent 4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14" w:customStyle="1">
    <w:name w:val="Grid Table 5 Dark - Accent 5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15" w:customStyle="1">
    <w:name w:val="Grid Table 5 Dark - Accent 6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16">
    <w:name w:val="Grid Table 6 Colorful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17" w:customStyle="1">
    <w:name w:val="Grid Table 6 Colorful - Accent 1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18" w:customStyle="1">
    <w:name w:val="Grid Table 6 Colorful - Accent 2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19" w:customStyle="1">
    <w:name w:val="Grid Table 6 Colorful - Accent 3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20" w:customStyle="1">
    <w:name w:val="Grid Table 6 Colorful - Accent 4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21" w:customStyle="1">
    <w:name w:val="Grid Table 6 Colorful - Accent 5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22" w:customStyle="1">
    <w:name w:val="Grid Table 6 Colorful - Accent 6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23">
    <w:name w:val="Grid Table 7 Colorful"/>
    <w:basedOn w:val="7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Grid Table 7 Colorful - Accent 1"/>
    <w:basedOn w:val="7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Grid Table 7 Colorful - Accent 2"/>
    <w:basedOn w:val="7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Grid Table 7 Colorful - Accent 3"/>
    <w:basedOn w:val="7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Grid Table 7 Colorful - Accent 4"/>
    <w:basedOn w:val="7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Grid Table 7 Colorful - Accent 5"/>
    <w:basedOn w:val="7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Grid Table 7 Colorful - Accent 6"/>
    <w:basedOn w:val="7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1 Light"/>
    <w:basedOn w:val="75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1 Light - Accent 1"/>
    <w:basedOn w:val="75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1 Light - Accent 2"/>
    <w:basedOn w:val="75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st Table 1 Light - Accent 3"/>
    <w:basedOn w:val="75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List Table 1 Light - Accent 4"/>
    <w:basedOn w:val="75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List Table 1 Light - Accent 5"/>
    <w:basedOn w:val="75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List Table 1 Light - Accent 6"/>
    <w:basedOn w:val="75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2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38" w:customStyle="1">
    <w:name w:val="List Table 2 - Accent 1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39" w:customStyle="1">
    <w:name w:val="List Table 2 - Accent 2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40" w:customStyle="1">
    <w:name w:val="List Table 2 - Accent 3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41" w:customStyle="1">
    <w:name w:val="List Table 2 - Accent 4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42" w:customStyle="1">
    <w:name w:val="List Table 2 - Accent 5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43" w:customStyle="1">
    <w:name w:val="List Table 2 - Accent 6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44">
    <w:name w:val="List Table 3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 w:customStyle="1">
    <w:name w:val="List Table 3 - Accent 1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List Table 3 - Accent 2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List Table 3 - Accent 3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List Table 3 - Accent 4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 w:customStyle="1">
    <w:name w:val="List Table 3 - Accent 5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List Table 3 - Accent 6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4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 w:customStyle="1">
    <w:name w:val="List Table 4 - Accent 1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 w:customStyle="1">
    <w:name w:val="List Table 4 - Accent 2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 w:customStyle="1">
    <w:name w:val="List Table 4 - Accent 3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List Table 4 - Accent 4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List Table 4 - Accent 5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List Table 4 - Accent 6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5 Dark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9" w:customStyle="1">
    <w:name w:val="List Table 5 Dark - Accent 1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0" w:customStyle="1">
    <w:name w:val="List Table 5 Dark - Accent 2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1" w:customStyle="1">
    <w:name w:val="List Table 5 Dark - Accent 3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2" w:customStyle="1">
    <w:name w:val="List Table 5 Dark - Accent 4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3" w:customStyle="1">
    <w:name w:val="List Table 5 Dark - Accent 5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4" w:customStyle="1">
    <w:name w:val="List Table 5 Dark - Accent 6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5">
    <w:name w:val="List Table 6 Colorful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66" w:customStyle="1">
    <w:name w:val="List Table 6 Colorful - Accent 1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67" w:customStyle="1">
    <w:name w:val="List Table 6 Colorful - Accent 2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68" w:customStyle="1">
    <w:name w:val="List Table 6 Colorful - Accent 3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69" w:customStyle="1">
    <w:name w:val="List Table 6 Colorful - Accent 4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70" w:customStyle="1">
    <w:name w:val="List Table 6 Colorful - Accent 5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71" w:customStyle="1">
    <w:name w:val="List Table 6 Colorful - Accent 6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72">
    <w:name w:val="List Table 7 Colorful"/>
    <w:basedOn w:val="75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List Table 7 Colorful - Accent 1"/>
    <w:basedOn w:val="75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 w:customStyle="1">
    <w:name w:val="List Table 7 Colorful - Accent 2"/>
    <w:basedOn w:val="75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 w:customStyle="1">
    <w:name w:val="List Table 7 Colorful - Accent 3"/>
    <w:basedOn w:val="75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 w:customStyle="1">
    <w:name w:val="List Table 7 Colorful - Accent 4"/>
    <w:basedOn w:val="75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 w:customStyle="1">
    <w:name w:val="List Table 7 Colorful - Accent 5"/>
    <w:basedOn w:val="75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List Table 7 Colorful - Accent 6"/>
    <w:basedOn w:val="75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 w:customStyle="1">
    <w:name w:val="Lined - Accent"/>
    <w:basedOn w:val="75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0" w:customStyle="1">
    <w:name w:val="Lined - Accent 1"/>
    <w:basedOn w:val="75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81" w:customStyle="1">
    <w:name w:val="Lined - Accent 2"/>
    <w:basedOn w:val="75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82" w:customStyle="1">
    <w:name w:val="Lined - Accent 3"/>
    <w:basedOn w:val="75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83" w:customStyle="1">
    <w:name w:val="Lined - Accent 4"/>
    <w:basedOn w:val="75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84" w:customStyle="1">
    <w:name w:val="Lined - Accent 5"/>
    <w:basedOn w:val="75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85" w:customStyle="1">
    <w:name w:val="Lined - Accent 6"/>
    <w:basedOn w:val="75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86" w:customStyle="1">
    <w:name w:val="Bordered &amp; Lined - Accent"/>
    <w:basedOn w:val="75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7" w:customStyle="1">
    <w:name w:val="Bordered &amp; Lined - Accent 1"/>
    <w:basedOn w:val="75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88" w:customStyle="1">
    <w:name w:val="Bordered &amp; Lined - Accent 2"/>
    <w:basedOn w:val="75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89" w:customStyle="1">
    <w:name w:val="Bordered &amp; Lined - Accent 3"/>
    <w:basedOn w:val="75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90" w:customStyle="1">
    <w:name w:val="Bordered &amp; Lined - Accent 4"/>
    <w:basedOn w:val="75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91" w:customStyle="1">
    <w:name w:val="Bordered &amp; Lined - Accent 5"/>
    <w:basedOn w:val="75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92" w:customStyle="1">
    <w:name w:val="Bordered &amp; Lined - Accent 6"/>
    <w:basedOn w:val="75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93" w:customStyle="1">
    <w:name w:val="Bordered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94" w:customStyle="1">
    <w:name w:val="Bordered - Accent 1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95" w:customStyle="1">
    <w:name w:val="Bordered - Accent 2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96" w:customStyle="1">
    <w:name w:val="Bordered - Accent 3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97" w:customStyle="1">
    <w:name w:val="Bordered - Accent 4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98" w:customStyle="1">
    <w:name w:val="Bordered - Accent 5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99" w:customStyle="1">
    <w:name w:val="Bordered - Accent 6"/>
    <w:basedOn w:val="7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900">
    <w:name w:val="footnote text"/>
    <w:basedOn w:val="740"/>
    <w:link w:val="901"/>
    <w:uiPriority w:val="99"/>
    <w:semiHidden/>
    <w:unhideWhenUsed/>
    <w:pPr>
      <w:spacing w:after="40" w:line="240" w:lineRule="auto"/>
    </w:pPr>
    <w:rPr>
      <w:sz w:val="18"/>
    </w:rPr>
  </w:style>
  <w:style w:type="character" w:styleId="901" w:customStyle="1">
    <w:name w:val="Текст сноски Знак"/>
    <w:link w:val="900"/>
    <w:uiPriority w:val="99"/>
    <w:rPr>
      <w:sz w:val="18"/>
    </w:rPr>
  </w:style>
  <w:style w:type="character" w:styleId="902">
    <w:name w:val="footnote reference"/>
    <w:basedOn w:val="750"/>
    <w:uiPriority w:val="99"/>
    <w:unhideWhenUsed/>
    <w:rPr>
      <w:vertAlign w:val="superscript"/>
    </w:rPr>
  </w:style>
  <w:style w:type="paragraph" w:styleId="903">
    <w:name w:val="endnote text"/>
    <w:basedOn w:val="740"/>
    <w:link w:val="904"/>
    <w:uiPriority w:val="99"/>
    <w:semiHidden/>
    <w:unhideWhenUsed/>
    <w:pPr>
      <w:spacing w:after="0" w:line="240" w:lineRule="auto"/>
    </w:pPr>
    <w:rPr>
      <w:sz w:val="20"/>
    </w:rPr>
  </w:style>
  <w:style w:type="character" w:styleId="904" w:customStyle="1">
    <w:name w:val="Текст концевой сноски Знак"/>
    <w:link w:val="903"/>
    <w:uiPriority w:val="99"/>
    <w:rPr>
      <w:sz w:val="20"/>
    </w:rPr>
  </w:style>
  <w:style w:type="character" w:styleId="905">
    <w:name w:val="endnote reference"/>
    <w:basedOn w:val="750"/>
    <w:uiPriority w:val="99"/>
    <w:semiHidden/>
    <w:unhideWhenUsed/>
    <w:rPr>
      <w:vertAlign w:val="superscript"/>
    </w:rPr>
  </w:style>
  <w:style w:type="paragraph" w:styleId="906">
    <w:name w:val="toc 1"/>
    <w:basedOn w:val="740"/>
    <w:next w:val="740"/>
    <w:uiPriority w:val="39"/>
    <w:unhideWhenUsed/>
    <w:pPr>
      <w:spacing w:after="57"/>
    </w:pPr>
  </w:style>
  <w:style w:type="paragraph" w:styleId="907">
    <w:name w:val="toc 2"/>
    <w:basedOn w:val="740"/>
    <w:next w:val="740"/>
    <w:uiPriority w:val="39"/>
    <w:unhideWhenUsed/>
    <w:pPr>
      <w:ind w:left="283"/>
      <w:spacing w:after="57"/>
    </w:pPr>
  </w:style>
  <w:style w:type="paragraph" w:styleId="908">
    <w:name w:val="toc 3"/>
    <w:basedOn w:val="740"/>
    <w:next w:val="740"/>
    <w:uiPriority w:val="39"/>
    <w:unhideWhenUsed/>
    <w:pPr>
      <w:ind w:left="567"/>
      <w:spacing w:after="57"/>
    </w:pPr>
  </w:style>
  <w:style w:type="paragraph" w:styleId="909">
    <w:name w:val="toc 4"/>
    <w:basedOn w:val="740"/>
    <w:next w:val="740"/>
    <w:uiPriority w:val="39"/>
    <w:unhideWhenUsed/>
    <w:pPr>
      <w:ind w:left="850"/>
      <w:spacing w:after="57"/>
    </w:pPr>
  </w:style>
  <w:style w:type="paragraph" w:styleId="910">
    <w:name w:val="toc 5"/>
    <w:basedOn w:val="740"/>
    <w:next w:val="740"/>
    <w:uiPriority w:val="39"/>
    <w:unhideWhenUsed/>
    <w:pPr>
      <w:ind w:left="1134"/>
      <w:spacing w:after="57"/>
    </w:pPr>
  </w:style>
  <w:style w:type="paragraph" w:styleId="911">
    <w:name w:val="toc 6"/>
    <w:basedOn w:val="740"/>
    <w:next w:val="740"/>
    <w:uiPriority w:val="39"/>
    <w:unhideWhenUsed/>
    <w:pPr>
      <w:ind w:left="1417"/>
      <w:spacing w:after="57"/>
    </w:pPr>
  </w:style>
  <w:style w:type="paragraph" w:styleId="912">
    <w:name w:val="toc 7"/>
    <w:basedOn w:val="740"/>
    <w:next w:val="740"/>
    <w:uiPriority w:val="39"/>
    <w:unhideWhenUsed/>
    <w:pPr>
      <w:ind w:left="1701"/>
      <w:spacing w:after="57"/>
    </w:pPr>
  </w:style>
  <w:style w:type="paragraph" w:styleId="913">
    <w:name w:val="toc 8"/>
    <w:basedOn w:val="740"/>
    <w:next w:val="740"/>
    <w:uiPriority w:val="39"/>
    <w:unhideWhenUsed/>
    <w:pPr>
      <w:ind w:left="1984"/>
      <w:spacing w:after="57"/>
    </w:pPr>
  </w:style>
  <w:style w:type="paragraph" w:styleId="914">
    <w:name w:val="toc 9"/>
    <w:basedOn w:val="740"/>
    <w:next w:val="740"/>
    <w:uiPriority w:val="39"/>
    <w:unhideWhenUsed/>
    <w:pPr>
      <w:ind w:left="2268"/>
      <w:spacing w:after="57"/>
    </w:pPr>
  </w:style>
  <w:style w:type="paragraph" w:styleId="915">
    <w:name w:val="TOC Heading"/>
    <w:uiPriority w:val="39"/>
    <w:unhideWhenUsed/>
  </w:style>
  <w:style w:type="paragraph" w:styleId="916">
    <w:name w:val="table of figures"/>
    <w:basedOn w:val="740"/>
    <w:next w:val="740"/>
    <w:uiPriority w:val="99"/>
    <w:unhideWhenUsed/>
    <w:pPr>
      <w:spacing w:after="0"/>
    </w:pPr>
  </w:style>
  <w:style w:type="paragraph" w:styleId="917">
    <w:name w:val="Balloon Text"/>
    <w:basedOn w:val="740"/>
    <w:link w:val="91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918" w:customStyle="1">
    <w:name w:val="Текст выноски Знак"/>
    <w:basedOn w:val="750"/>
    <w:link w:val="917"/>
    <w:uiPriority w:val="99"/>
    <w:semiHidden/>
    <w:rPr>
      <w:rFonts w:ascii="Tahoma" w:hAnsi="Tahoma" w:cs="Tahoma"/>
      <w:sz w:val="16"/>
      <w:szCs w:val="16"/>
    </w:rPr>
  </w:style>
  <w:style w:type="table" w:styleId="919">
    <w:name w:val="Table Grid"/>
    <w:basedOn w:val="75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20">
    <w:name w:val="Header"/>
    <w:basedOn w:val="740"/>
    <w:link w:val="92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21" w:customStyle="1">
    <w:name w:val="Верхний колонтитул Знак"/>
    <w:basedOn w:val="750"/>
    <w:link w:val="920"/>
    <w:uiPriority w:val="99"/>
  </w:style>
  <w:style w:type="paragraph" w:styleId="922">
    <w:name w:val="Footer"/>
    <w:basedOn w:val="740"/>
    <w:link w:val="92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23" w:customStyle="1">
    <w:name w:val="Нижний колонтитул Знак"/>
    <w:basedOn w:val="750"/>
    <w:link w:val="922"/>
    <w:uiPriority w:val="99"/>
  </w:style>
  <w:style w:type="paragraph" w:styleId="924" w:customStyle="1">
    <w:name w:val="ConsPlusTitle"/>
    <w:pPr>
      <w:spacing w:after="0" w:line="240" w:lineRule="auto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925">
    <w:name w:val="Body Text Indent"/>
    <w:basedOn w:val="740"/>
    <w:link w:val="926"/>
    <w:pPr>
      <w:ind w:left="283"/>
      <w:spacing w:after="120"/>
    </w:pPr>
    <w:rPr>
      <w:rFonts w:ascii="Century Gothic" w:hAnsi="Century Gothic" w:eastAsia="Times New Roman" w:cs="Times New Roman"/>
      <w:lang w:val="en-US"/>
    </w:rPr>
  </w:style>
  <w:style w:type="character" w:styleId="926" w:customStyle="1">
    <w:name w:val="Основной текст с отступом Знак"/>
    <w:basedOn w:val="750"/>
    <w:link w:val="925"/>
    <w:rPr>
      <w:rFonts w:ascii="Century Gothic" w:hAnsi="Century Gothic" w:eastAsia="Times New Roman" w:cs="Times New Roman"/>
      <w:lang w:val="en-US"/>
    </w:rPr>
  </w:style>
  <w:style w:type="paragraph" w:styleId="927">
    <w:name w:val="No Spacing"/>
    <w:uiPriority w:val="1"/>
    <w:qFormat/>
    <w:pPr>
      <w:spacing w:after="0" w:line="240" w:lineRule="auto"/>
    </w:pPr>
  </w:style>
  <w:style w:type="paragraph" w:styleId="928">
    <w:name w:val="Body Text 2"/>
    <w:basedOn w:val="740"/>
    <w:link w:val="929"/>
    <w:uiPriority w:val="99"/>
    <w:unhideWhenUsed/>
    <w:pPr>
      <w:spacing w:after="120" w:line="480" w:lineRule="auto"/>
    </w:pPr>
  </w:style>
  <w:style w:type="character" w:styleId="929" w:customStyle="1">
    <w:name w:val="Основной текст 2 Знак"/>
    <w:basedOn w:val="750"/>
    <w:link w:val="928"/>
    <w:uiPriority w:val="99"/>
  </w:style>
  <w:style w:type="paragraph" w:styleId="930" w:customStyle="1">
    <w:name w:val="Default"/>
    <w:pPr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styleId="931">
    <w:name w:val="Hyperlink"/>
    <w:basedOn w:val="750"/>
    <w:uiPriority w:val="99"/>
    <w:unhideWhenUsed/>
    <w:rPr>
      <w:color w:val="0000ff" w:themeColor="hyperlink"/>
      <w:u w:val="single"/>
    </w:rPr>
  </w:style>
  <w:style w:type="character" w:styleId="932" w:customStyle="1">
    <w:name w:val="extended-text__short"/>
    <w:basedOn w:val="750"/>
  </w:style>
  <w:style w:type="paragraph" w:styleId="933" w:customStyle="1">
    <w:name w:val="ConsPlusNormal"/>
    <w:pPr>
      <w:spacing w:after="0" w:line="240" w:lineRule="auto"/>
      <w:widowControl w:val="off"/>
    </w:pPr>
    <w:rPr>
      <w:rFonts w:ascii="Times New Roman" w:hAnsi="Times New Roman" w:cs="Times New Roman" w:eastAsiaTheme="minorEastAsia"/>
      <w:sz w:val="24"/>
      <w:szCs w:val="24"/>
      <w:lang w:eastAsia="ru-RU"/>
    </w:rPr>
  </w:style>
  <w:style w:type="character" w:styleId="934">
    <w:name w:val="Strong"/>
    <w:basedOn w:val="750"/>
    <w:uiPriority w:val="22"/>
    <w:qFormat/>
    <w:rPr>
      <w:b/>
      <w:bCs/>
    </w:rPr>
  </w:style>
  <w:style w:type="paragraph" w:styleId="935" w:customStyle="1">
    <w:name w:val="Heading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36" w:customStyle="1">
    <w:name w:val="Normal (Web)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37" w:customStyle="1">
    <w:name w:val="Body Text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image" Target="media/image1.png"/><Relationship Id="rId13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C9C47-22BC-456D-AEF5-5E9268504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Р7-Офис/2024.1.1.373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14</cp:revision>
  <dcterms:created xsi:type="dcterms:W3CDTF">2020-07-02T06:46:00Z</dcterms:created>
  <dcterms:modified xsi:type="dcterms:W3CDTF">2026-07-02T10:55:47Z</dcterms:modified>
</cp:coreProperties>
</file>