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Минюсте России 23 ноября 2020 г. N 61067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ФЕДЕРАЛЬНАЯ СЛУЖБА ВОЙСК НАЦИОНАЛЬНОЙ ГВАРДИИ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РОССИЙСКОЙ ФЕДЕРАЦИИ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19 октября 2020 г. N 419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УТВЕРЖДЕНИИ ТИПОВЫХ ТРЕБОВАНИЙ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 ДОЛЖНОСТНОЙ ИНСТРУКЦИИ ЧАСТНОГО ОХРАННИКА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ОБЪЕКТЕ ОХРАНЫ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Приказов Росгвардии от 09.02.2023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28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09.04.2024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95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частью второй статьи 12.1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ие законодательства Российской Федерации, 2016, N 27, ст. 4160)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прилагаемые типовые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требования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должностной инструкции частного охранника на объекте охраны.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Начальнику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Федерации, командующим округами войск национальной гвардии Российской Федерации, начальникам территориа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льных органов Росгвардии организовать изучение и выполнение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требований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приказа.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Директор Федеральной службы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войск национальной гвардии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 -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главнокомандующий войсками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национальной гвардии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генерал армии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В.ЗОЛОТОВ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приказу Федеральной службы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войск национальной гвардии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19.10.2020 N 419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ТИПОВЫЕ ТРЕБОВАНИЯ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 ДОЛЖНОСТНОЙ ИНСТРУКЦИИ ЧАСТНОГО ОХРАННИКА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ОБЪЕКТЕ ОХРАНЫ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Приказов Росгвардии от 09.02.2023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28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09.04.2024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95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Должностная инструкция частного охранника на объекте охраны (далее - должностная инструкция) регламентирует действия частного охранника на объекте охраны при обеспечении внутриобъектового и пропускного режимов, его права и обязанности при выполнении им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трудовой функции.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Должностная инструкция носит обезличенный характер и разрабатывается для каждого объекта охраны с учетом его особенностей.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Должностная инструкция подлежит согласованию клиентом либо заказчиком или их уполномоченным представителем путем проставления слова "СОГЛАСОВАНО", указания должности лица, его личной подписи, расшифровки подписи (инициалы, фамилия) и даты согласования.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Согласованная должностная инструкция утверждается руководителем либо уполномоченным представителем частной охранной организации путем проставления слова "УТВЕРЖДАЮ", указания должности лица, его личной подписи, расшифровки подписи (инициалы, фамилия) и дат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 утверждения.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Должностная инструкция составляется в двух экземплярах.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Один экземпляр должностной инструкции направляется в территориальный орган Росгвардии по месту нахождения соответствующего объекта охраны в сроки, установленные для уведомления частной охранной организацией территориальных органов Росгвардии о начале оказа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охранных услуг &lt;1&gt;.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&lt;1&gt;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уведомления частной охранной организацией территориальных органов федерального органа исполнительной власти, уполномоченного в сфере частной охранной деятельности, о начале и об окончании оказания охранных услуг, изменении состава учредителей (участников)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утвержденные постановлением Правительства Российской Федерации от 23 июня 2011 г. N 498 (Собрание законодательства Российской Федерации, 2011, N 26, ст. 3820; 2018, N 27, ст. 4082).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Второй экземпляр должностной инструкции хранится в частной охранной организации. Заверенная копия должностной инструкции хранится на объекте охраны.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Внесение изменений в должностную инструкцию осуществляется путем подготовки ее новой редакции. Новая редакция должностной инструкции в течение 5 дней после ее утверждения направляется в территориальный орган Росгвардии по месту нахождения соответствующе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объекта охраны.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Согласованная клиентом либо заказчиком или их уполномоченным представителем должностная инструкция вступает в силу с момента ее утверждения руководителем либо уполномоченным представителем частной охранной организации и действует в период исполнения дог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овора на оказание охранных услуг либо до ее замены новой редакцией должностной инструкции.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Согласованная и утвержденная должностная инструкция доводится до сведения частных охранников, обеспечивающих внутриобъектовый и пропускной режимы в пределах объекта охраны, о чем делается соответствующая отметка в листе ознакомления. Лист ознакомления 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ранится совместно с заверенной копией должностной инструкции на объекте охраны.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В должностной инструкции указываются наименование документа, наименование объекта охраны, реквизиты согласования и утверждения, номер и дата заключения договора на оказание охранных услуг.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Должностная инструкция состоит из разделов: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 Общие положения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 Права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III Обязанности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IV Ответственность.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В разделе I "Общие положения" указываются: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10.1. Объект охраны (виды оказываемых охранных услуг в соответствии с договором, место нахождения, краткая характеристика, границы).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10.2. Перечень законодательных и иных нормативных правовых актов Российской Федерации, а также локальных нормативных актов, которыми должен руководствоваться частный охранник при исполнении своих трудовых функций.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10.3. Перечень лиц и (или) должностей работников частной охранной организации и заказчика, исполнение законных распоряжений которых в соответствии с представленными им полномочиями обязательно для частного охранника.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10.4. Режим работы частного охранника на объекте охраны.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10.5. Установленные клиентом или заказчиком правила соблюдения персоналом и посетителями объекта охраны внутриобъектового и пропускного режимов.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10.6. Правила ведения и порядок оформления служебной документации на объекте охраны.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10.7. Иные положения, конкретизирующие и уточняющие трудовые функции частного охранника на объекте охраны и условия его деятельности.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Раздел II "Права" содержит перечень прав, которыми обладает частный охранник при обеспечении внутриобъектового и пропускного режимов на объекте охраны. Приводится перечень прав, предусмотренных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статьей 12.1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Российской Федерации от 11 марта 1992 г. N 2487-1 "О частной детективной и охранной деятельности в Российской Федерации" (далее - Закон "О частной детективной и охранной деятельности в Российской Федерации").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разделе отражаются действия частного охранника при прибытии на охраняемый объект должностных лиц государственных органов (порядок допуска на объект охраны должностных лиц правоохранительных, контролирующих и надзорных органов, представления необходимой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нформации и документов), взаимодействие с государственными органами (адреса и номера телефонов, иные способы связи с правоохранительными, контролирующими и надзорными органами, которые частный охранник обязан уведомлять в случаях, предусмотренных законодат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ельством Российской Федерации и (или) локальными нормативными актами), а также порядок взаимодействия с представителями иных организаций, осуществляющих охранные или контрольные функции на охраняемом объекте (в случае их наличия).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оказании охранной услуги, предусмотренной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пунктом 7 части третьей статьи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"О частной детективной и охранной деятельности в Российской Федерации", дополнительно указываются права по пресечению функционирования беспилотных воздушных, подводных и надводных судов и аппаратов, беспилотных транспортных средств и иных автоматиз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ированных беспилотных комплексов (в случае включения частного охранника в соответствии с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частью восьмой статьи 11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"О частной детективной и охранной деятельности в Российской Федерации" в перечень работников частной охранной организации, которые вправе пресекать функционирование данных беспилотных аппаратов).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2"/>
              </w:rPr>
              <w:t xml:space="preserve">(абзац введен 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none"/>
              </w:rPr>
              <w:t xml:space="preserve">Приказом</w:t>
            </w:r>
            <w:r>
              <w:rPr>
                <w:rFonts w:ascii="Times New Roman" w:hAnsi="Times New Roman" w:eastAsia="Times New Roman" w:cs="Times New Roman"/>
                <w:color w:val="828282"/>
                <w:sz w:val="22"/>
              </w:rPr>
              <w:t xml:space="preserve"> Росгвардии от 09.04.2024 N 95)</w:t>
            </w:r>
            <w:r/>
          </w:p>
        </w:tc>
      </w:tr>
    </w:tbl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В разделе III "Обязанности" указываются: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12.1. Перечень обязанностей, возложенных на частного охранника при обеспечении внутриобъектового и пропускного режимов на объекте охраны, в том числе предусмотренных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статьей 12.1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"О частной детективной и охранной деятельности в Российской Федерации".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12.2. Действия частного охранника по осуществлению контроля за состоянием и исправностью технических средств охраны, систем видеонаблюдения и систем контроля и управления доступом, которыми оборудован объект охраны, если такие действия возложены на частную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охранную организацию в соответствии с договором на оказание охранных услуг.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12.3. Действия частного охранника по задержанию и передаче в органы внутренних дел лиц, совершивших противоправное посягательство на охраняемое имущество либо нарушающих внутриобъектовый и (или) пропускной режимы.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12.4. Действия частного охранника при возникновении чрезвычайных ситуаций.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12.5. Порядок приема и передачи дежурства (в том числе порядок приема и передачи документов, средств охраны, оружия и специальных средств в соответствии с законодательством Российской Федерации, регламентирующим частную охранную деятельность, оборот оружия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специальных средств).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12.6. Действия частного охранника при совершении (угрозе совершения) преступления в форме вооруженного нападения, в том числе террористической направленности, на объект охраны.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2"/>
              </w:rPr>
              <w:t xml:space="preserve">(пп. 12.6 введен 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none"/>
              </w:rPr>
              <w:t xml:space="preserve">Приказом</w:t>
            </w:r>
            <w:r>
              <w:rPr>
                <w:rFonts w:ascii="Times New Roman" w:hAnsi="Times New Roman" w:eastAsia="Times New Roman" w:cs="Times New Roman"/>
                <w:color w:val="828282"/>
                <w:sz w:val="22"/>
              </w:rPr>
              <w:t xml:space="preserve"> Росгвардии от 09.02.2023 N 28)</w:t>
            </w:r>
            <w:r/>
          </w:p>
        </w:tc>
      </w:tr>
    </w:tbl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12.7. Порядок действий частного охранника по пресечению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в соответствии с законодательством 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ссийской Федерации (при оказании охранной услуги, предусмотренной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пунктом 7 части третьей статьи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"О частной детективной и охранной деятельности в Российской Федерации").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2"/>
              </w:rPr>
              <w:t xml:space="preserve">(пп. 12.7 введен 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none"/>
              </w:rPr>
              <w:t xml:space="preserve">Приказом</w:t>
            </w:r>
            <w:r>
              <w:rPr>
                <w:rFonts w:ascii="Times New Roman" w:hAnsi="Times New Roman" w:eastAsia="Times New Roman" w:cs="Times New Roman"/>
                <w:color w:val="828282"/>
                <w:sz w:val="22"/>
              </w:rPr>
              <w:t xml:space="preserve"> Росгвардии от 09.04.2024 N 95)</w:t>
            </w:r>
            <w:r/>
          </w:p>
        </w:tc>
      </w:tr>
    </w:tbl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В разделе IV "Ответственность" указываются виды ответственности частного охранника за несоблюдение требований, установленных законодательством Российской Федерации.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91" w:hanging="340"/>
        <w:tabs>
          <w:tab w:val="num" w:pos="1211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24" w:hanging="340"/>
        <w:tabs>
          <w:tab w:val="num" w:pos="644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24" w:hanging="340"/>
        <w:tabs>
          <w:tab w:val="num" w:pos="644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24" w:hanging="340"/>
        <w:tabs>
          <w:tab w:val="num" w:pos="644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24" w:hanging="340"/>
        <w:tabs>
          <w:tab w:val="num" w:pos="644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24" w:hanging="340"/>
        <w:tabs>
          <w:tab w:val="num" w:pos="644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82" w:hanging="340"/>
        <w:tabs>
          <w:tab w:val="num" w:pos="502" w:leader="none"/>
        </w:tabs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82" w:hanging="34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3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55" w:hanging="360"/>
      </w:pPr>
      <w:rPr>
        <w:rFonts w:hint="default" w:ascii="Symbol" w:hAnsi="Symbol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paragraph" w:styleId="44">
    <w:name w:val="Footer"/>
    <w:basedOn w:val="66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6"/>
    <w:link w:val="44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70"/>
    <w:uiPriority w:val="99"/>
    <w:rPr>
      <w:sz w:val="18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List Paragraph"/>
    <w:basedOn w:val="665"/>
    <w:uiPriority w:val="34"/>
    <w:qFormat/>
    <w:pPr>
      <w:contextualSpacing/>
      <w:ind w:left="720"/>
    </w:pPr>
  </w:style>
  <w:style w:type="paragraph" w:styleId="670">
    <w:name w:val="footnote text"/>
    <w:basedOn w:val="665"/>
    <w:link w:val="671"/>
    <w:uiPriority w:val="99"/>
    <w:semiHidden/>
    <w:unhideWhenUsed/>
    <w:pPr>
      <w:widowControl w:val="off"/>
    </w:pPr>
    <w:rPr>
      <w:sz w:val="20"/>
      <w:lang w:eastAsia="ru-RU"/>
    </w:rPr>
  </w:style>
  <w:style w:type="character" w:styleId="671" w:customStyle="1">
    <w:name w:val="Текст сноски Знак"/>
    <w:basedOn w:val="666"/>
    <w:link w:val="67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2">
    <w:name w:val="footnote reference"/>
    <w:uiPriority w:val="99"/>
    <w:semiHidden/>
    <w:unhideWhenUsed/>
    <w:rPr>
      <w:vertAlign w:val="superscript"/>
    </w:rPr>
  </w:style>
  <w:style w:type="paragraph" w:styleId="673">
    <w:name w:val="Balloon Text"/>
    <w:basedOn w:val="665"/>
    <w:link w:val="6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4" w:customStyle="1">
    <w:name w:val="Текст выноски Знак"/>
    <w:basedOn w:val="666"/>
    <w:link w:val="673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Беседа Алена Владимировна</dc:creator>
  <cp:keywords/>
  <dc:description/>
  <cp:revision>14</cp:revision>
  <dcterms:created xsi:type="dcterms:W3CDTF">2021-11-23T11:57:00Z</dcterms:created>
  <dcterms:modified xsi:type="dcterms:W3CDTF">2024-05-21T08:59:33Z</dcterms:modified>
</cp:coreProperties>
</file>