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outlineLvl w:val="0"/>
      </w:pPr>
      <w:r>
        <w:rPr>
          <w:sz w:val="24"/>
        </w:rPr>
        <w:t xml:space="preserve">Результат предоставления Услуги</w:t>
      </w:r>
      <w:r/>
    </w:p>
    <w:p>
      <w:pPr>
        <w:pStyle w:val="616"/>
        <w:jc w:val="center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6. При обращении заявителя за уведомительной регистрацией коллективного договора результатами предоставления Услуги являются: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а) уведомление о регистрации колле</w:t>
      </w:r>
      <w:r>
        <w:rPr>
          <w:sz w:val="24"/>
        </w:rPr>
        <w:t xml:space="preserve">ктивного договора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б) уведомление о регистрации коллективного договора с выявлением условий, ухудшающих пол</w:t>
      </w:r>
      <w:r>
        <w:rPr>
          <w:sz w:val="24"/>
        </w:rPr>
        <w:t xml:space="preserve">ожение работников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в) уведомление об отказе в пред</w:t>
      </w:r>
      <w:r>
        <w:rPr>
          <w:sz w:val="24"/>
        </w:rPr>
        <w:t xml:space="preserve">оставлении Услуги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 При обращении заявителя за уведомительной регистрацией территориального соглашения результатами предоставления Услуги являются: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а) уведомление о регис</w:t>
      </w:r>
      <w:r>
        <w:rPr>
          <w:sz w:val="24"/>
        </w:rPr>
        <w:t xml:space="preserve">трации соглашения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б) уведомление о регистрации соглашения с выявлением условий, ухудшающих пол</w:t>
      </w:r>
      <w:r>
        <w:rPr>
          <w:sz w:val="24"/>
        </w:rPr>
        <w:t xml:space="preserve">ожение работников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в) уведомление об отказе в пред</w:t>
      </w:r>
      <w:r>
        <w:rPr>
          <w:sz w:val="24"/>
        </w:rPr>
        <w:t xml:space="preserve">оставлении Услуги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8. Результаты предоставления Услуги могут быть получены посредством Единого портала, посредством электронной почты, посредством почтовой связи, в многофункциональном центре предоставления государственных и муниципальных услуг (далее - МФЦ).</w:t>
      </w:r>
      <w:r/>
    </w:p>
    <w:p>
      <w:pPr>
        <w:pStyle w:val="616"/>
      </w:pPr>
      <w:r>
        <w:rPr>
          <w:i/>
          <w:sz w:val="24"/>
        </w:rPr>
        <w:br/>
      </w:r>
      <w:r>
        <w:rPr>
          <w:sz w:val="24"/>
        </w:rPr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682" w:default="1">
    <w:name w:val="Default Paragraph Font"/>
    <w:uiPriority w:val="1"/>
    <w:semiHidden/>
    <w:unhideWhenUsed/>
  </w:style>
  <w:style w:type="numbering" w:styleId="683" w:default="1">
    <w:name w:val="No List"/>
    <w:uiPriority w:val="99"/>
    <w:semiHidden/>
    <w:unhideWhenUsed/>
  </w:style>
  <w:style w:type="table" w:styleId="6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труда и занятости населения ХМАО - Югры от 12.11.2025 N 33-нп
"Об утверждении Административного регламента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</dc:title>
  <cp:revision>1</cp:revision>
  <dcterms:created xsi:type="dcterms:W3CDTF">2025-12-25T04:05:00Z</dcterms:created>
  <dcterms:modified xsi:type="dcterms:W3CDTF">2025-12-25T04:06:49Z</dcterms:modified>
</cp:coreProperties>
</file>