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rPr>
          <w:rFonts w:ascii="XO Thames" w:hAnsi="XO Thames" w:cs="XO Thames"/>
          <w:b/>
          <w:bCs/>
          <w:sz w:val="28"/>
          <w:szCs w:val="45"/>
        </w:rPr>
        <w:outlineLvl w:val="0"/>
      </w:pPr>
      <w:r>
        <w:rPr>
          <w:rFonts w:ascii="XO Thames" w:hAnsi="XO Thames" w:eastAsia="Times New Roman" w:cs="XO Thames"/>
          <w:b/>
          <w:bCs/>
          <w:sz w:val="28"/>
          <w:szCs w:val="45"/>
          <w:lang w:eastAsia="ru-RU"/>
        </w:rPr>
        <w:t xml:space="preserve">ТЕХНИЧЕСКОЕ ЗАДАНИЕ </w:t>
      </w:r>
      <w:r>
        <w:rPr>
          <w:rFonts w:ascii="XO Thames" w:hAnsi="XO Thames" w:cs="XO Thames"/>
        </w:rPr>
      </w:r>
    </w:p>
    <w:p>
      <w:pPr>
        <w:pStyle w:val="602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rPr>
          <w:rFonts w:ascii="XO Thames" w:hAnsi="XO Thames" w:cs="XO Thames"/>
        </w:rPr>
        <w:outlineLvl w:val="0"/>
      </w:pPr>
      <w:r>
        <w:rPr>
          <w:rFonts w:ascii="XO Thames" w:hAnsi="XO Thames" w:eastAsia="Times New Roman" w:cs="XO Thames"/>
          <w:b/>
          <w:sz w:val="28"/>
          <w:szCs w:val="28"/>
          <w:lang w:eastAsia="ru-RU"/>
        </w:rPr>
        <w:t xml:space="preserve">на организацию и проведение мероприятий на набережной реки Обь </w:t>
        <w:br/>
        <w:t xml:space="preserve">в рамках фестиваля искусств, труда и спорта «Самотлорские ночи – 202</w:t>
      </w:r>
      <w:r>
        <w:rPr>
          <w:rFonts w:ascii="XO Thames" w:hAnsi="XO Thames" w:eastAsia="Times New Roman" w:cs="XO Thames"/>
          <w:b/>
          <w:sz w:val="28"/>
          <w:szCs w:val="28"/>
          <w:lang w:eastAsia="ru-RU"/>
        </w:rPr>
        <w:t xml:space="preserve">3</w:t>
      </w:r>
      <w:r>
        <w:rPr>
          <w:rFonts w:ascii="XO Thames" w:hAnsi="XO Thames" w:eastAsia="Times New Roman" w:cs="XO Thames"/>
          <w:b/>
          <w:sz w:val="28"/>
          <w:szCs w:val="28"/>
          <w:lang w:eastAsia="ru-RU"/>
        </w:rPr>
        <w:t xml:space="preserve">» с установкой художественного оформления и обеспечением технического, звуко-светового оборудования</w:t>
      </w:r>
      <w:r>
        <w:rPr>
          <w:rFonts w:ascii="XO Thames" w:hAnsi="XO Thames" w:cs="XO Thames"/>
        </w:rPr>
      </w:r>
    </w:p>
    <w:p>
      <w:pPr>
        <w:pStyle w:val="602"/>
        <w:numPr>
          <w:ilvl w:val="0"/>
          <w:numId w:val="0"/>
        </w:numPr>
        <w:jc w:val="center"/>
        <w:spacing w:before="0" w:after="0" w:line="240" w:lineRule="auto"/>
        <w:shd w:val="clear" w:color="auto" w:fill="ffffff"/>
        <w:rPr>
          <w:rFonts w:ascii="XO Thames" w:hAnsi="XO Thames" w:cs="XO Thames"/>
          <w:b/>
          <w:bCs/>
          <w:color w:val="0070c0"/>
          <w:sz w:val="28"/>
          <w:szCs w:val="45"/>
        </w:rPr>
        <w:outlineLvl w:val="0"/>
      </w:pPr>
      <w:r>
        <w:rPr>
          <w:rFonts w:ascii="XO Thames" w:hAnsi="XO Thames" w:eastAsia="Times New Roman" w:cs="XO Thames"/>
          <w:b/>
          <w:bCs/>
          <w:color w:val="0070c0"/>
          <w:sz w:val="28"/>
          <w:szCs w:val="45"/>
          <w:lang w:eastAsia="ru-RU"/>
        </w:rPr>
      </w:r>
      <w:r>
        <w:rPr>
          <w:rFonts w:ascii="XO Thames" w:hAnsi="XO Thames" w:cs="XO Thames"/>
        </w:rPr>
      </w:r>
    </w:p>
    <w:tbl>
      <w:tblPr>
        <w:tblW w:w="9776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55"/>
        <w:gridCol w:w="1530"/>
        <w:gridCol w:w="738"/>
        <w:gridCol w:w="5952"/>
      </w:tblGrid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Заказчик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Департамент по социальной политике администрации города Нижневартовска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Основание для финансирования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Муниципальная программа «Развитие социальной сферы города Нижневартовска на 2019-2030 годы» утвержденная постановлением администрации города от 27.08.2018 №1167 (с изменениями)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spacing w:before="0" w:after="0" w:line="240" w:lineRule="auto"/>
              <w:rPr>
                <w:rFonts w:ascii="XO Thames" w:hAnsi="XO Thames" w:cs="XO Thames"/>
                <w:b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color w:val="000000"/>
                <w:sz w:val="23"/>
                <w:szCs w:val="23"/>
                <w:highlight w:val="white"/>
                <w:lang w:eastAsia="ru-RU"/>
              </w:rPr>
              <w:t xml:space="preserve">Максимальный размер субсидии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pStyle w:val="602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5 800,0 тыс. руб.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Сроки оказания услуги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09 - 12 июня 202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года в дни проведения фестиваля искусств, труда и спорта «Самотлорские ночи – 202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».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В части создания видеофильмов, срок не должен превышать 60 календарных дней со дня окончания съемочных работ.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Место проведения мероприятия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Набережная реки Обь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Целевая аудитория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жители и гости города, не менее 3 000 чел.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823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Цель мероприятия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5952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создание благоприятных условий для организации свободного времени жителей и гостей города, их отдыха и повышения культурного уровня;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повышение интереса к традициям, культуре различных национальных групп России;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создание благоприятных условий для самореализации творческого потенциала творческих коллективов и отдельных исполнителей.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повышение узнаваемости города Нижневартовска и популяризации культуры города.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1555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lang w:eastAsia="ru-RU"/>
              </w:rPr>
              <w:t xml:space="preserve">Характеристики работ</w:t>
            </w:r>
            <w:r>
              <w:rPr>
                <w:rFonts w:ascii="XO Thames" w:hAnsi="XO Thames" w:cs="XO Thames"/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8220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shd w:val="clear" w:color="auto" w:fill="ffffff"/>
              <w:rPr>
                <w:rFonts w:ascii="XO Thames" w:hAnsi="XO Thames" w:cs="XO Thames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Организация и проведение мероприятий на набережной реки Обь в рамках фестиваля искусств, труда и спорта «Самотлорские ночи – 202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» с установкой художественного оформления и обеспечением технического, звуко-светового оборудования.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Создание видеофильмов о фестивале «Самотлорские ночи».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shd w:val="clear" w:color="auto" w:fill="ffffff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Исполнителю необходимо осуществить следующие виды работ: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contextualSpacing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Исполнитель осуществляет техническое обеспечение мероприятия, программ собственным и/или арендованным оборудованием.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  <w:u w:val="singl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u w:val="single"/>
                <w:lang w:eastAsia="ru-RU"/>
              </w:rPr>
              <w:t xml:space="preserve">Техническое обеспечение каждого этапа проведения мероприятий включает следующие виды работ: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  <w:u w:val="single"/>
              </w:rPr>
            </w:r>
          </w:p>
          <w:p>
            <w:pPr>
              <w:pStyle w:val="602"/>
              <w:numPr>
                <w:ilvl w:val="0"/>
                <w:numId w:val="8"/>
              </w:numPr>
              <w:ind w:left="425" w:right="0" w:hanging="425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завоз и вывоз оборудование;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монтаж мобильной крытой сцены;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монтаж светового оборудования;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монтаж звукового оборудования;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монтаж видеооборудования;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монтаж дополнительного оборудования;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настройка оборудования;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сопровождение </w:t>
            </w: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концертных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программ;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7"/>
              </w:numPr>
              <w:ind w:left="425" w:right="0" w:hanging="425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демонтажные работы по завершению оказания услуг.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  <w:u w:val="single"/>
              </w:rPr>
            </w:pPr>
            <w:r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  <w:u w:val="single"/>
              </w:rPr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u w:val="single"/>
                <w:lang w:eastAsia="ru-RU"/>
              </w:rPr>
              <w:t xml:space="preserve">Техническое обеспечение этапов создания видеофильмов о фестивале включает следующие виды работ:</w:t>
            </w:r>
            <w:r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  <w:u w:val="singl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создание концепции видеофильмов и подготовка визуального ряда видеофильма в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рамках единой стилистики проекта;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 проведение оригинальной видеосъемки во время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репетиций, работы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оргкомитетов</w:t>
            </w:r>
            <w:bookmarkStart w:id="0" w:name="undefined"/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  <w:bookmarkEnd w:id="0"/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и не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посредственно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в дни проведения фестиваля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;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использование осветительного оборудования при необходимости;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создание элементов 2D графики и анимированной заставки в рамках создания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видеофильмов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приобретение прав на музыкальное произведение для его использования в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видеофильмах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подбор дикторов и озвучивание видеофильмов на русском языке;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5"/>
              </w:numPr>
              <w:ind w:left="425" w:right="0" w:hanging="425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применение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цветокоррекции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 в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видеофильме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 при необходимости.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contextualSpacing/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Требования к сцене и оборудованию, необходимых к установке.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708" w:firstLine="0"/>
              <w:jc w:val="center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Звуковое оборудование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Комплект звукоусилительного оборудования Line Array das aero 38 75 кВт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(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16 саттелитов 8 сабов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)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Монитор Martin audio LE400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10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М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ониторный рэк 4 канала  BIAMP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3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лавишная стойка 1 уровневая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лавишная стойка 2 уровневая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Г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итарная стойка  Hercules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- 3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тойка для трубы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Proel RSM 220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пюпитр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10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П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одсветка для пюпитра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10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тойки МИКРОФОННЫЕ  Euromet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Цифровой микшерный пульт Yamaha cl5 —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Цифровой микшерный пульт Allen Heath dLive + DM —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Аналоговый микшерный пульт Allen &amp; Heath ZED10FX —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Директ бокс ACTIVE DIRECT BOX DBX — 16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HARTKE HCX 45 XL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Басовый кабинет, 4 динамика Hartke XL 10"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Ampeg SVT-7PRO гитарный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усилитель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Fender Twin 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гитарный Комбоусилитель, мощность 60 ватт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У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дарная установка " YAMAHA stage custom" ( Tom; 12*9, 14*10, 16*16; kick 22*17; snare 14*5,5; boom cymbal stands 7  Hi-hat 3 ) -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У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дарная установка " YAMAHA stage custom JAZZ" ( Tom; 12*8, 10*7, 14*13; kick 20*17; snare 14*5,5; boom cymbal stands 7  Hi-hat 3)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0,5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П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едаль для ударных Iron Cobra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тойка для ударных под тарелку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тойка под малый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барабан — 4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тойка под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en-US" w:eastAsia="ru-RU"/>
              </w:rPr>
              <w:t xml:space="preserve">H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en-US" w:eastAsia="ru-RU"/>
              </w:rPr>
              <w:t xml:space="preserve">i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en-US" w:eastAsia="ru-RU"/>
              </w:rPr>
              <w:t xml:space="preserve">H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en-US" w:eastAsia="ru-RU"/>
              </w:rPr>
              <w:t xml:space="preserve">at –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ru-RU"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ru-RU" w:eastAsia="ru-RU"/>
              </w:rPr>
              <w:t xml:space="preserve">- Перкуссионный инструмент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ru-RU" w:eastAsia="ru-RU"/>
              </w:rPr>
              <w:t xml:space="preserve">Bar Chimes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ru-RU"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ru-RU" w:eastAsia="ru-RU"/>
              </w:rPr>
              <w:t xml:space="preserve">- 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лавишный инструмент Nord Stage 3 88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val="ru-RU" w:eastAsia="ru-RU"/>
              </w:rPr>
              <w:t xml:space="preserve">- Перкуссионный инструмент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Timbales —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Э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лектрогитара Fender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Г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итара акустическая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омплект тарелок ZILDJIAN K-custom splash 10, hi-hat 13,crash-16, crash-fx -18'', ride- 20''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омплект Микрофонов для барабанов SENNHEIZER. (902*1, 904*3, 614*2)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Beta 57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Микрофон Фирма производитель SHURE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4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SM 94 - LC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Микрофон конденсаторный  производитель SHURE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SM 91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А напольный микрофон производитель SHURE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М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икрофон Sеnnheiser E 606 гитарный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К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омплект из 4х цифровых радиосистем с шифрованием 512бит работающих в диапазоне частот от 548.1 до 697.9 MHz и  антенного усилителя  с выносными антеннами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Р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адиомикрофон цифровой Shure AXIENT —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Система ушного мониторинга In-EAR Sennheiser EM-300 — 4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00000"/>
                <w:sz w:val="23"/>
                <w:szCs w:val="23"/>
                <w:highlight w:val="white"/>
                <w:u w:val="none"/>
                <w:lang w:eastAsia="ru-RU"/>
              </w:rPr>
              <w:t xml:space="preserve">- Система ушного мониторинга In-EAR Shure PSM — 8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ind w:left="708" w:firstLine="0"/>
              <w:jc w:val="center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 w:val="0"/>
                <w:bCs w:val="0"/>
                <w:color w:val="000000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708" w:firstLine="0"/>
              <w:jc w:val="center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Световое оборудование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val="en-US" w:eastAsia="ru-RU"/>
              </w:rPr>
              <w:t xml:space="preserve">DIALighting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val="en-US" w:eastAsia="ru-RU"/>
              </w:rPr>
              <w:t xml:space="preserve">LED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val="en-US" w:eastAsia="ru-RU"/>
              </w:rPr>
              <w:t xml:space="preserve">BAR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15 4-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val="en-US" w:eastAsia="ru-RU"/>
              </w:rPr>
              <w:t xml:space="preserve">IN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-1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val="en-US" w:eastAsia="ru-RU"/>
              </w:rPr>
              <w:t xml:space="preserve">LEDS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val="en-US" w:eastAsia="ru-RU"/>
              </w:rPr>
              <w:t xml:space="preserve">IP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65 контровой свет –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16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П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рожектор типа PAR / LED 4 шт. по 50 Вт. 9030 Лм. /  40474 Кд. / Освещеность на 3м: 3 214 Люкс /  CW+WW/ IP20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20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Светодиодный прожектор LED 19X15W Bee Eye LED Source: 19x15W high power RGBW 4 in 1 LEDs Zoom: 4-60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° -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Б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линдер 5*5 RGB 25 Led 9w*25pc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6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К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ОНТРОЛЕР DMS 26 Merger-splitter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П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рожектор Следящего света в кофре укомплектован стойкой, аналог (2500Вт) Terbly FS300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Движущаяся световая голова  Moving Head Beam 10r GPL — 10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Движущаяся световая голова Moving Head SPOT/ Beam'' DIALighting PRO280 Zoom 3,8-45 — 8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Движущаяся световая голова Moving Head WASH" DIALighting IW108-RGBW  ZOOM(7-50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гр (108*3w) 14кан Osram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П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ульт для управления светом. Hog 3PC DMX Widget 512. -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С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тробоскоп Atomic 3000.  (Martin). Denmark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4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В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ентилятор для дым-машины  dmx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Д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ым машина 1300вт Look solution Viper 1,3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val="en-US" w:eastAsia="ru-RU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708" w:firstLine="0"/>
              <w:jc w:val="center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Сцена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С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цена размером 13м на 10м на 1,7м. –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  <w:lang w:eastAsia="ru-RU"/>
              </w:rPr>
              <w:t xml:space="preserve">З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адняя стенка сцены без подвеса, Layher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– 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ascii="XO Thames" w:hAnsi="XO Thames" w:eastAsia="Times New Roman" w:cs="XO Thames"/>
                <w:b w:val="0"/>
                <w:bCs w:val="0"/>
                <w:color w:val="000000"/>
                <w:sz w:val="23"/>
                <w:szCs w:val="23"/>
                <w:highlight w:val="white"/>
                <w:lang w:eastAsia="ru-RU"/>
              </w:rPr>
              <w:t xml:space="preserve">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  <w:lang w:eastAsia="ru-RU"/>
              </w:rPr>
              <w:t xml:space="preserve">- П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ортал для звук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ового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 оборуд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овани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я с крышей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- П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ультовая палатка 3м на 3м Черная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color w:val="0d0d0d"/>
                <w:sz w:val="23"/>
                <w:szCs w:val="23"/>
                <w:highlight w:val="white"/>
                <w:u w:val="none"/>
              </w:rPr>
              <w:t xml:space="preserve">- Л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естница 200 см шириной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Н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авес над сценой  из дюралюминия размер закрываемой площади 13м на 10м черный цвет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Л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ебедка цепная, 1000 kg (электрическая) Chain Master BGV-D8 1000 кг, 4 м/мин, поднимающаяся, цепная с цепью длиной 18м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Л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ебедка цепная, 1000 kg (электрическая) Chain Master BGV-D8 1000 кг, 4 м/мин, поднимающаяся, цепная с цепью длиной 24м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6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С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пансет черный СМ - RS - 300 , 2000 кг, полезная длина 4м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К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омплект силовых кабелей и сигнальной коммутации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К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абельный канал Legion DH-CP-2 (1000 х 500 х 55mm)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40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- С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иловой Рэк  125A — </w:t>
            </w:r>
            <w:r>
              <w:rPr>
                <w:rFonts w:ascii="XO Thames" w:hAnsi="XO Thames" w:cs="XO Thames"/>
                <w:b w:val="0"/>
                <w:bCs w:val="0"/>
                <w:i w:val="0"/>
                <w:strike w:val="0"/>
                <w:sz w:val="23"/>
                <w:szCs w:val="23"/>
                <w:highlight w:val="white"/>
                <w:u w:val="none"/>
              </w:rPr>
              <w:t xml:space="preserve">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ind w:left="708" w:firstLine="0"/>
              <w:jc w:val="center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708" w:firstLine="0"/>
              <w:jc w:val="center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Видео обеспечение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К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оммутационное оборудование (1 комплект) –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Р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эк управления (компьютер, мониторы, платы захвата и распределения сигнала) –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С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ветодиодный экран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для улицы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, шаг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пикселя 3,9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мм - 2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м. кв.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Видео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микшер –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ноутбук с предустановленным Resolume 7 –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квадратор –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комплект силовых кабелей и сигнальной коммутации – 1 комплект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кабельный канал Legion DH-CP-2 (1000 х 500 х 55mm) – 30 метров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система трехфазной стабилизации напряжения мощностью до 30кВт – 2 шт.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left="1" w:firstLine="0"/>
              <w:jc w:val="both"/>
              <w:spacing w:before="0" w:after="0" w:line="240" w:lineRule="auto"/>
              <w:rPr>
                <w:rFonts w:ascii="XO Thames" w:hAnsi="XO Thames" w:cs="XO Thames"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блок распределения питания 63 А – 2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силовой Рэк DMX512 + сплиттинг Dmx, 125A 1 шт.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</w:r>
          </w:p>
          <w:p>
            <w:p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eastAsia="Times New Roman" w:cs="XO Thames"/>
                <w:color w:val="000000"/>
                <w:sz w:val="23"/>
                <w:szCs w:val="23"/>
                <w:highlight w:val="white"/>
                <w:lang w:eastAsia="ru-RU"/>
              </w:rPr>
            </w:r>
          </w:p>
          <w:p>
            <w:pPr>
              <w:pStyle w:val="1_738"/>
              <w:contextualSpacing/>
              <w:ind w:left="0"/>
              <w:jc w:val="center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  <w:t xml:space="preserve">Характеристика художественного оформления: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jc w:val="both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использование баннера с полноцветной печатью;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jc w:val="both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б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аннерная сетка с полноцветной печатью;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jc w:val="both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использование люверсов по периметру для надежности монтажа, 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присутствие эмблем и 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символики фестиваля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-329" w:hanging="283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предоставить флажные конструкции мобильного типа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 с утяжелителями, 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высота флага 3,70 м. 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и</w:t>
            </w:r>
            <w:r>
              <w:rPr>
                <w:rFonts w:ascii="XO Thames" w:hAnsi="XO Thames" w:cs="XO Thames"/>
                <w:bCs/>
                <w:color w:val="000000" w:themeColor="text1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3"/>
                <w:szCs w:val="23"/>
                <w:highlight w:val="white"/>
              </w:rPr>
              <w:t xml:space="preserve">9,00</w:t>
            </w:r>
            <w:r>
              <w:rPr>
                <w:rFonts w:ascii="XO Thames" w:hAnsi="XO Thames" w:cs="XO Thames"/>
                <w:bCs/>
                <w:color w:val="000000" w:themeColor="text1"/>
                <w:sz w:val="23"/>
                <w:szCs w:val="23"/>
                <w:highlight w:val="white"/>
              </w:rPr>
              <w:t xml:space="preserve"> м</w:t>
            </w:r>
            <w:r>
              <w:rPr>
                <w:rFonts w:ascii="XO Thames" w:hAnsi="XO Thames" w:cs="XO Thames"/>
                <w:bCs/>
                <w:color w:val="000000" w:themeColor="text1"/>
                <w:sz w:val="23"/>
                <w:szCs w:val="23"/>
                <w:highlight w:val="white"/>
              </w:rPr>
              <w:t xml:space="preserve">.</w:t>
            </w:r>
            <w:r>
              <w:rPr>
                <w:rFonts w:ascii="XO Thames" w:hAnsi="XO Thames" w:cs="XO Thames"/>
                <w:bCs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color w:val="ff000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изображение на флагах символики фестиваля, логотипы символики фестиваля;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jc w:val="both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монтаж и демонтаж флагов на территории, задействованной для проведения фестиваля;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jc w:val="both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концептуальное комплекс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ное оформление территории проведения фестиваля;</w:t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</w:p>
          <w:p>
            <w:pPr>
              <w:pStyle w:val="1_3312"/>
              <w:numPr>
                <w:ilvl w:val="0"/>
                <w:numId w:val="17"/>
              </w:numPr>
              <w:ind w:left="283" w:right="0" w:hanging="283"/>
              <w:jc w:val="both"/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t xml:space="preserve">предоставление (изготовление) и оформление лестниц подиумов.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color w:val="000000" w:themeColor="text1"/>
                <w:sz w:val="23"/>
                <w:szCs w:val="23"/>
                <w:highlight w:val="white"/>
                <w:u w:val="single"/>
              </w:rPr>
            </w:pPr>
            <w:r>
              <w:rPr>
                <w:rFonts w:ascii="XO Thames" w:hAnsi="XO Thames" w:cs="XO Thames"/>
                <w:color w:val="ff0000"/>
                <w:sz w:val="23"/>
                <w:szCs w:val="23"/>
                <w:highlight w:val="white"/>
              </w:rPr>
              <w:t xml:space="preserve">    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  <w:u w:val="single"/>
              </w:rPr>
              <w:t xml:space="preserve">Перечень материалов используемых для изготовления декораций.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  <w:u w:val="single"/>
              </w:rPr>
            </w:r>
            <w:r>
              <w:rPr>
                <w:color w:val="000000" w:themeColor="text1"/>
                <w:sz w:val="23"/>
                <w:szCs w:val="23"/>
                <w:highlight w:val="white"/>
                <w:u w:val="single"/>
              </w:rPr>
            </w:r>
          </w:p>
          <w:p>
            <w:pPr>
              <w:jc w:val="both"/>
              <w:spacing w:after="0" w:line="240" w:lineRule="auto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color w:val="ff0000"/>
                <w:sz w:val="23"/>
                <w:szCs w:val="23"/>
                <w:highlight w:val="white"/>
              </w:rPr>
              <w:t xml:space="preserve">   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 Профильная труба, многослойная ламинированная фанера, краска, метизы, баннер различной толщины, баннерная сетка, флажная т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кань, люверсы, ФБС блоки, разные виды ткани с печатью и без.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    Примечание. Возможно изменение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  <w:u w:val="none"/>
              </w:rPr>
              <w:t xml:space="preserve"> конструктива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сцены с учетом режиссерского замысла в пределах объема предоставленных финансовых средств.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pStyle w:val="1_738"/>
              <w:ind w:left="283" w:right="0" w:hanging="709"/>
              <w:jc w:val="both"/>
              <w:rPr>
                <w:rFonts w:ascii="XO Thames" w:hAnsi="XO Thames" w:cs="XO Thames"/>
                <w:b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jc w:val="center"/>
              <w:spacing w:after="0" w:afterAutospacing="0"/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  <w:t xml:space="preserve">Технические характеристики создаваемых </w:t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  <w:t xml:space="preserve">видеофильмов</w:t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  <w:t xml:space="preserve">:</w:t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9"/>
              </w:numPr>
              <w:ind w:left="283" w:right="0" w:hanging="283"/>
              <w:jc w:val="both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Не менее трех видеофильмов: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0"/>
              </w:numPr>
              <w:ind w:left="1276" w:right="0" w:hanging="567"/>
              <w:jc w:val="both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Видеофильм хронометражем не менее 25 минут;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0"/>
              </w:numPr>
              <w:ind w:left="1276" w:right="0" w:hanging="567"/>
              <w:jc w:val="both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Видеофильм (видеоролик) 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хронометражем не менее 4 минуты;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0"/>
              </w:numPr>
              <w:ind w:left="1276" w:right="0" w:hanging="567"/>
              <w:jc w:val="both"/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Видеофильм (видеоролик) 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хронометражем не менее 1,5 минуты.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6"/>
              </w:numPr>
              <w:ind w:left="283" w:right="0" w:hanging="283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видеофильмы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 должны иметь музыкальное оформление;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6"/>
              </w:numPr>
              <w:ind w:left="283" w:right="0" w:hanging="283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технические характеристики звука (формат,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битрейт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 и т.д.) – стерео 48 КГц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32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бит;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6"/>
              </w:numPr>
              <w:ind w:left="283" w:hanging="283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монтаж видеоролика производится с использованием профессиональных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лицензионных программ;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6"/>
              </w:numPr>
              <w:ind w:left="283" w:hanging="283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формат конечного файла и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отмонтированного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материала: 1920Х1080px, 25 кадров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в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сек, *.mp4, 50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мбит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/с;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6"/>
              </w:numPr>
              <w:ind w:left="283" w:hanging="283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съемки долж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ны проводиться на камеры с CMOS-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датчиками линейки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  <w:lang w:val="en-US"/>
              </w:rPr>
              <w:t xml:space="preserve">EXDCAM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с ручной фокусировкой или внешней (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радиофокус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), камеры GoPro3 либо эквивалент со специальными безопасными креплениями;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6"/>
              </w:numPr>
              <w:ind w:left="283" w:hanging="283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видеофильмы должны быть записан в нескольких форматах, и пригодны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для размещения в информационно-телекоммуникационной сети «Интернет», социальных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сетях, телевидении.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contextualSpacing/>
              <w:ind w:left="288" w:firstLine="0"/>
              <w:jc w:val="center"/>
              <w:spacing w:before="0" w:after="0" w:line="240" w:lineRule="auto"/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Примечание.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</w:p>
          <w:p>
            <w:pPr>
              <w:pStyle w:val="602"/>
              <w:ind w:firstLine="426"/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sz w:val="23"/>
                <w:szCs w:val="23"/>
                <w:highlight w:val="white"/>
                <w:u w:val="single"/>
                <w:lang w:eastAsia="ru-RU"/>
              </w:rPr>
              <w:t xml:space="preserve">В части организации мероприятий:</w:t>
            </w:r>
            <w:r>
              <w:rPr>
                <w:rFonts w:ascii="XO Thames" w:hAnsi="XO Thames" w:cs="XO Thames"/>
                <w:b/>
                <w:bCs/>
                <w:sz w:val="23"/>
                <w:szCs w:val="23"/>
                <w:highlight w:val="white"/>
              </w:rPr>
            </w:r>
          </w:p>
          <w:p>
            <w:pPr>
              <w:ind w:firstLine="426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Сценический ком</w:t>
            </w: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плекс, включая все оборудование, должен соответствовать всем мерам безопасности, все оборудование должно быть заземлено, защищено от скачков напряжения. Звуковое оборудование должно питаться от отдельной фазы, независимой от светового и видео оборудования.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ind w:firstLine="284"/>
              <w:jc w:val="both"/>
              <w:spacing w:before="0" w:after="0" w:line="240" w:lineRule="auto"/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Обеспечить соблюдение техники безопасности и пожарной безопасности, а именно: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1"/>
              </w:numPr>
              <w:contextualSpacing/>
              <w:ind w:left="0" w:right="0" w:firstLine="283"/>
              <w:jc w:val="both"/>
              <w:spacing w:before="0" w:after="0" w:line="240" w:lineRule="auto"/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исполнитель несет ответственность за техническое состояние любого используемого им оборудования</w:t>
            </w: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1"/>
              </w:numPr>
              <w:contextualSpacing/>
              <w:ind w:left="0" w:right="0" w:firstLine="360"/>
              <w:jc w:val="both"/>
              <w:spacing w:before="0" w:after="0" w:line="240" w:lineRule="auto"/>
              <w:rPr>
                <w:rFonts w:ascii="XO Thames" w:hAnsi="XO Thames" w:cs="XO Thames"/>
                <w:bCs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contextualSpacing/>
              <w:ind w:left="1" w:firstLine="425"/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График оказания услуг по техническому обеспечению концертных программ: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Завоз оборудования на набережную реки «Обь»: c 08.06.2023г.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Монтаж и наладка оборудования: с 08.06.2023 по 09.06.2023г. (до 15.00 часов местного времени).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Комплексное обслуживание мероприятий 09.06-2023 -12.09.2023г.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eastAsia="Times New Roman" w:cs="XO Thames"/>
                <w:bCs/>
                <w:sz w:val="23"/>
                <w:szCs w:val="23"/>
                <w:highlight w:val="white"/>
                <w:lang w:eastAsia="ru-RU"/>
              </w:rPr>
              <w:t xml:space="preserve">Демонтаж оборудования: 13.06.2023г.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0"/>
              </w:numPr>
              <w:contextualSpacing/>
              <w:ind w:firstLine="426"/>
              <w:jc w:val="both"/>
              <w:spacing w:before="0" w:after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Исполнитель организует интерактивные развлекательные мероприятия: 09 -12 июня 202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г. на набережной реки «Обь»: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- обеспечивает приглашение артистов и их выступление (включая трансфер, проживание и питание).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  <w:u w:val="singl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u w:val="single"/>
                <w:lang w:eastAsia="ru-RU"/>
              </w:rPr>
              <w:t xml:space="preserve">В части создании видеофильмов:</w:t>
            </w: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u w:val="single"/>
                <w:lang w:eastAsia="ru-RU"/>
              </w:rPr>
            </w:r>
          </w:p>
          <w:p>
            <w:pPr>
              <w:spacing w:after="0" w:afterAutospacing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    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Работы осуществляются в соответствии с требованиями: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6"/>
              </w:numPr>
              <w:ind w:left="283" w:right="0" w:hanging="283"/>
              <w:spacing w:after="0" w:afterAutospacing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Закона Российской Федерации от 27.12.1991 № 2124-1 «О средствах массовой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информации»;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6"/>
              </w:numPr>
              <w:ind w:left="283" w:right="0" w:hanging="283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Федерального закона от 13.03.2006 № 38-ФЗ «О рекламе»;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6"/>
              </w:numPr>
              <w:ind w:left="283" w:right="0" w:hanging="283"/>
              <w:spacing w:after="0" w:afterAutospacing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Федерального закона от 29.12.2010 № 436-ФЗ «О защите детей от информации, 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  <w:t xml:space="preserve">причиняющей вред их здоровью и развитию».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  <w:u w:val="single"/>
              </w:rPr>
              <w:outlineLvl w:val="0"/>
            </w:pPr>
            <w:r>
              <w:rPr>
                <w:rFonts w:ascii="XO Thames" w:hAnsi="XO Thames" w:cs="XO Thames"/>
                <w:color w:val="ff0000"/>
                <w:sz w:val="23"/>
                <w:szCs w:val="23"/>
                <w:highlight w:val="white"/>
              </w:rPr>
              <w:t xml:space="preserve">     </w:t>
            </w:r>
            <w:r>
              <w:rPr>
                <w:rFonts w:ascii="XO Thames" w:hAnsi="XO Thames" w:cs="XO Thames"/>
                <w:color w:val="000000" w:themeColor="text1"/>
                <w:sz w:val="23"/>
                <w:szCs w:val="23"/>
                <w:highlight w:val="white"/>
              </w:rPr>
              <w:t xml:space="preserve">Весь отснятый рабочий материал передаётся заказчику в оригинальных форматах на USB-носитель или HDD-диск.</w:t>
            </w:r>
            <w:r>
              <w:rPr>
                <w:rFonts w:ascii="XO Thames" w:hAnsi="XO Thames" w:eastAsia="Times New Roman" w:cs="XO Thames"/>
                <w:bCs/>
                <w:color w:val="000000" w:themeColor="text1"/>
                <w:sz w:val="23"/>
                <w:szCs w:val="23"/>
                <w:highlight w:val="white"/>
                <w:u w:val="single"/>
                <w:lang w:eastAsia="ru-RU"/>
              </w:rPr>
            </w:r>
            <w:r>
              <w:rPr>
                <w:rFonts w:ascii="XO Thames" w:hAnsi="XO Thames" w:eastAsia="Times New Roman" w:cs="XO Thames"/>
                <w:bCs/>
                <w:color w:val="000000" w:themeColor="text1"/>
                <w:sz w:val="23"/>
                <w:szCs w:val="23"/>
                <w:highlight w:val="white"/>
                <w:u w:val="single"/>
                <w:lang w:eastAsia="ru-RU"/>
              </w:rPr>
            </w:r>
          </w:p>
          <w:p>
            <w:pPr>
              <w:pStyle w:val="602"/>
              <w:numPr>
                <w:ilvl w:val="0"/>
                <w:numId w:val="0"/>
              </w:numPr>
              <w:ind w:firstLine="317"/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Исполнитель имеет право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</w:t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bCs/>
                <w:color w:val="000000"/>
                <w:sz w:val="23"/>
                <w:szCs w:val="23"/>
                <w:lang w:eastAsia="ru-RU"/>
              </w:rPr>
              <w:t xml:space="preserve">Количество оказываемых услуг</w:t>
            </w:r>
            <w:r>
              <w:rPr>
                <w:rFonts w:ascii="XO Thames" w:hAnsi="XO Thames" w:cs="XO Thames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6690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Исполнитель: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color w:val="000000"/>
                <w:sz w:val="23"/>
                <w:szCs w:val="23"/>
                <w:highlight w:val="white"/>
              </w:rPr>
              <w:outlineLvl w:val="0"/>
            </w:pP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  <w:t xml:space="preserve">     Обязуется предоставить техническое обеспечение, звуковое обеспечение, световое обеспечение и художественное оформление мероприятий на набережной реки Обь и организовать не менее четырех мероприятий, продолжительностью не менее 1 часа.</w:t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      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Создать 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н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е менее трех видеофильмов: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4"/>
              </w:numPr>
              <w:ind w:left="425" w:right="0" w:hanging="425"/>
              <w:jc w:val="both"/>
              <w:spacing w:line="240" w:lineRule="auto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Видеофильм хронометражем не менее 25 минут;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4"/>
              </w:numPr>
              <w:ind w:left="425" w:right="0" w:hanging="425"/>
              <w:jc w:val="both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Видеофильм (видеоролик) 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хронометражем не менее 4 минуты;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</w:p>
          <w:p>
            <w:pPr>
              <w:pStyle w:val="30"/>
              <w:numPr>
                <w:ilvl w:val="0"/>
                <w:numId w:val="14"/>
              </w:numPr>
              <w:ind w:left="425" w:right="0" w:hanging="425"/>
              <w:jc w:val="both"/>
              <w:spacing w:after="0" w:afterAutospacing="0"/>
              <w:rPr>
                <w:rFonts w:ascii="XO Thames" w:hAnsi="XO Thames" w:cs="XO Thames"/>
                <w:sz w:val="23"/>
                <w:szCs w:val="23"/>
                <w:highlight w:val="white"/>
              </w:rPr>
            </w:pP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Видеофильм (видеоролик) 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  <w:t xml:space="preserve">хронометражем не менее 1,5 минуты.</w:t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  <w:r>
              <w:rPr>
                <w:rFonts w:ascii="XO Thames" w:hAnsi="XO Thames" w:cs="XO Thames"/>
                <w:sz w:val="23"/>
                <w:szCs w:val="23"/>
                <w:highlight w:val="white"/>
              </w:rPr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eastAsia="Times New Roman" w:cs="XO Thames"/>
                <w:bCs/>
                <w:color w:val="000000"/>
                <w:sz w:val="23"/>
                <w:szCs w:val="23"/>
                <w:highlight w:val="white"/>
                <w:lang w:eastAsia="ru-RU"/>
              </w:rPr>
            </w:r>
            <w:r>
              <w:rPr>
                <w:rFonts w:ascii="XO Thames" w:hAnsi="XO Thames" w:cs="XO Thames"/>
                <w:b w:val="0"/>
                <w:bCs w:val="0"/>
                <w:sz w:val="23"/>
                <w:szCs w:val="23"/>
                <w:highlight w:val="white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3085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/>
                <w:bCs/>
                <w:color w:val="000000"/>
                <w:sz w:val="23"/>
                <w:szCs w:val="23"/>
              </w:rPr>
              <w:outlineLvl w:val="0"/>
            </w:pPr>
            <w:r>
              <w:rPr>
                <w:rFonts w:ascii="XO Thames" w:hAnsi="XO Thames" w:eastAsia="Times New Roman" w:cs="XO Thames"/>
                <w:b/>
                <w:color w:val="000000"/>
                <w:sz w:val="23"/>
                <w:szCs w:val="23"/>
                <w:lang w:eastAsia="ru-RU"/>
              </w:rPr>
              <w:t xml:space="preserve">Обеспечение безопасности</w:t>
            </w:r>
            <w:r>
              <w:rPr>
                <w:rFonts w:ascii="XO Thames" w:hAnsi="XO Thames" w:cs="XO Thames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color="00000A" w:sz="4" w:space="0"/>
              <w:insideV w:val="single" w:color="00000A" w:sz="4" w:space="0"/>
            </w:tcBorders>
            <w:tcMar>
              <w:left w:w="108" w:type="dxa"/>
            </w:tcMar>
            <w:tcW w:w="6690" w:type="dxa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jc w:val="both"/>
              <w:spacing w:before="0" w:after="0" w:line="240" w:lineRule="auto"/>
              <w:rPr>
                <w:rFonts w:ascii="XO Thames" w:hAnsi="XO Thames" w:cs="XO Thames"/>
                <w:bCs/>
                <w:sz w:val="23"/>
                <w:szCs w:val="23"/>
              </w:rPr>
              <w:outlineLvl w:val="0"/>
            </w:pPr>
            <w:r>
              <w:rPr>
                <w:rFonts w:ascii="XO Thames" w:hAnsi="XO Thames" w:eastAsia="Times New Roman" w:cs="XO Thames"/>
                <w:sz w:val="23"/>
                <w:szCs w:val="23"/>
                <w:lang w:eastAsia="ru-RU"/>
              </w:rPr>
              <w:t xml:space="preserve">Организация и проведение мероприятия должны быть осуществлены исполнителем в соответствии с постановлением администрации города от 26.06.2013 №1277</w:t>
            </w:r>
            <w:r>
              <w:rPr>
                <w:rFonts w:ascii="XO Thames" w:hAnsi="XO Thames" w:eastAsia="Times New Roman" w:cs="XO Thames"/>
                <w:sz w:val="23"/>
                <w:szCs w:val="23"/>
                <w:lang w:eastAsia="ru-RU"/>
              </w:rPr>
              <w:t xml:space="preserve"> «</w:t>
            </w:r>
            <w:r>
              <w:rPr>
                <w:rFonts w:ascii="XO Thames" w:hAnsi="XO Thames" w:eastAsia="Times New Roman" w:cs="XO Thames"/>
                <w:sz w:val="23"/>
                <w:szCs w:val="23"/>
                <w:lang w:eastAsia="ru-RU"/>
              </w:rPr>
              <w:t xml:space="preserve">Об организации и проведении разовых массовых мероприятий в городе Нижневартовске и обеспечении антитеррористической безопасности при их проведении»</w:t>
            </w:r>
            <w:r>
              <w:rPr>
                <w:rFonts w:ascii="XO Thames" w:hAnsi="XO Thames" w:cs="XO Thames"/>
                <w:sz w:val="23"/>
                <w:szCs w:val="23"/>
              </w:rPr>
            </w:r>
          </w:p>
        </w:tc>
      </w:tr>
    </w:tbl>
    <w:p>
      <w:pPr>
        <w:pStyle w:val="602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Microsoft YaHei">
    <w:panose1 w:val="020B0503020203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2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3" w:default="1">
    <w:name w:val="Default Paragraph Font"/>
    <w:uiPriority w:val="1"/>
    <w:semiHidden/>
    <w:unhideWhenUsed/>
    <w:qFormat/>
  </w:style>
  <w:style w:type="paragraph" w:styleId="604">
    <w:name w:val="Заголовок"/>
    <w:basedOn w:val="602"/>
    <w:next w:val="60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05">
    <w:name w:val="Основной текст"/>
    <w:basedOn w:val="602"/>
    <w:pPr>
      <w:spacing w:before="0" w:after="140" w:line="288" w:lineRule="auto"/>
    </w:pPr>
  </w:style>
  <w:style w:type="paragraph" w:styleId="606">
    <w:name w:val="Список"/>
    <w:basedOn w:val="605"/>
    <w:rPr>
      <w:rFonts w:cs="Arial"/>
    </w:rPr>
  </w:style>
  <w:style w:type="paragraph" w:styleId="607">
    <w:name w:val="Название"/>
    <w:basedOn w:val="60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08">
    <w:name w:val="Указатель"/>
    <w:basedOn w:val="602"/>
    <w:qFormat/>
    <w:pPr>
      <w:suppressLineNumbers/>
    </w:pPr>
    <w:rPr>
      <w:rFonts w:cs="Arial"/>
    </w:rPr>
  </w:style>
  <w:style w:type="numbering" w:styleId="609" w:default="1">
    <w:name w:val="No List"/>
    <w:uiPriority w:val="99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_738" w:customStyle="1">
    <w:name w:val="Абзац списка"/>
    <w:basedOn w:val="621"/>
    <w:next w:val="646"/>
    <w:link w:val="621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312" w:customStyle="1">
    <w:name w:val="Абзац списка1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Олег Равильевич</dc:creator>
  <dc:language>ru-RU</dc:language>
  <cp:revision>16</cp:revision>
  <dcterms:created xsi:type="dcterms:W3CDTF">2022-03-04T15:57:00Z</dcterms:created>
  <dcterms:modified xsi:type="dcterms:W3CDTF">2023-03-07T10:20:17Z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